
<file path=[Content_Types].xml><?xml version="1.0" encoding="utf-8"?>
<Types xmlns="http://schemas.openxmlformats.org/package/2006/content-types">
  <Default Extension="emf" ContentType="image/x-emf"/>
  <Default Extension="jpg" ContentType="image/jp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themeColor="background1"/>
  <w:body>
    <w:p w14:paraId="2AF96C96" w14:textId="77777777" w:rsidR="00FF6BED" w:rsidRPr="001C1791" w:rsidRDefault="00DF1B04" w:rsidP="00621640">
      <w:pPr>
        <w:pStyle w:val="LottoNumero"/>
      </w:pPr>
      <w:r w:rsidRPr="001C1791">
        <w:tab/>
      </w:r>
    </w:p>
    <w:p w14:paraId="3DC79008" w14:textId="77777777" w:rsidR="006C2A5F" w:rsidRPr="00281C64" w:rsidRDefault="000D7E76" w:rsidP="00621640">
      <w:r w:rsidRPr="00281C64">
        <w:rPr>
          <w:noProof/>
        </w:rPr>
        <mc:AlternateContent>
          <mc:Choice Requires="wps">
            <w:drawing>
              <wp:anchor distT="0" distB="0" distL="114300" distR="114300" simplePos="0" relativeHeight="251660288" behindDoc="0" locked="0" layoutInCell="1" allowOverlap="1" wp14:anchorId="37508768" wp14:editId="27677993">
                <wp:simplePos x="0" y="0"/>
                <wp:positionH relativeFrom="column">
                  <wp:posOffset>-177165</wp:posOffset>
                </wp:positionH>
                <wp:positionV relativeFrom="paragraph">
                  <wp:posOffset>371475</wp:posOffset>
                </wp:positionV>
                <wp:extent cx="6176010" cy="5982335"/>
                <wp:effectExtent l="0" t="0" r="0" b="0"/>
                <wp:wrapNone/>
                <wp:docPr id="2" name="Casella di testo 2"/>
                <wp:cNvGraphicFramePr/>
                <a:graphic xmlns:a="http://schemas.openxmlformats.org/drawingml/2006/main">
                  <a:graphicData uri="http://schemas.microsoft.com/office/word/2010/wordprocessingShape">
                    <wps:wsp>
                      <wps:cNvSpPr txBox="1"/>
                      <wps:spPr>
                        <a:xfrm>
                          <a:off x="0" y="0"/>
                          <a:ext cx="6176010" cy="59823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4C1B5B" w14:textId="0AF669F9" w:rsidR="00281C64" w:rsidRDefault="00281C64" w:rsidP="00621640">
                            <w:pPr>
                              <w:rPr>
                                <w:rStyle w:val="NomeConvenzioneCarattere"/>
                                <w:sz w:val="52"/>
                              </w:rPr>
                            </w:pPr>
                            <w:r w:rsidRPr="0042311A">
                              <w:rPr>
                                <w:rStyle w:val="NomeConvenzioneCarattere"/>
                                <w:sz w:val="52"/>
                              </w:rPr>
                              <w:t>Servizi Public Cloud IaaS e PaaS – Appalto Specifico</w:t>
                            </w:r>
                          </w:p>
                          <w:p w14:paraId="6FC2442D" w14:textId="77C7B27A" w:rsidR="00281C64" w:rsidRPr="000E0604" w:rsidRDefault="00281C64" w:rsidP="00621640">
                            <w:pPr>
                              <w:pStyle w:val="LottoNumero"/>
                              <w:rPr>
                                <w:rStyle w:val="NomeConvenzioneCarattere"/>
                                <w:b/>
                                <w:i w:val="0"/>
                                <w:color w:val="821B4C"/>
                                <w:sz w:val="40"/>
                              </w:rPr>
                            </w:pPr>
                            <w:r>
                              <w:rPr>
                                <w:rStyle w:val="NomeConvenzioneCarattere"/>
                                <w:b/>
                                <w:i w:val="0"/>
                                <w:color w:val="821B4C"/>
                                <w:sz w:val="40"/>
                              </w:rPr>
                              <w:t>Lotto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508768" id="_x0000_t202" coordsize="21600,21600" o:spt="202" path="m,l,21600r21600,l21600,xe">
                <v:stroke joinstyle="miter"/>
                <v:path gradientshapeok="t" o:connecttype="rect"/>
              </v:shapetype>
              <v:shape id="Casella di testo 2" o:spid="_x0000_s1026" type="#_x0000_t202" style="position:absolute;left:0;text-align:left;margin-left:-13.95pt;margin-top:29.25pt;width:486.3pt;height:471.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" filled="f" stroked="f" strokeweight=".5pt">
                <v:textbox>
                  <w:txbxContent>
                    <w:p w14:paraId="514C1B5B" w14:textId="0AF669F9" w:rsidR="00281C64" w:rsidRDefault="00281C64" w:rsidP="00621640">
                      <w:pPr>
                        <w:rPr>
                          <w:rStyle w:val="NomeConvenzioneCarattere"/>
                          <w:sz w:val="52"/>
                        </w:rPr>
                      </w:pPr>
                      <w:r w:rsidRPr="0042311A">
                        <w:rPr>
                          <w:rStyle w:val="NomeConvenzioneCarattere"/>
                          <w:sz w:val="52"/>
                        </w:rPr>
                        <w:t xml:space="preserve">Servizi Public </w:t>
                      </w:r>
                      <w:proofErr w:type="spellStart"/>
                      <w:r w:rsidRPr="0042311A">
                        <w:rPr>
                          <w:rStyle w:val="NomeConvenzioneCarattere"/>
                          <w:sz w:val="52"/>
                        </w:rPr>
                        <w:t>Cloud</w:t>
                      </w:r>
                      <w:proofErr w:type="spellEnd"/>
                      <w:r w:rsidRPr="0042311A">
                        <w:rPr>
                          <w:rStyle w:val="NomeConvenzioneCarattere"/>
                          <w:sz w:val="52"/>
                        </w:rPr>
                        <w:t xml:space="preserve"> </w:t>
                      </w:r>
                      <w:proofErr w:type="spellStart"/>
                      <w:r w:rsidRPr="0042311A">
                        <w:rPr>
                          <w:rStyle w:val="NomeConvenzioneCarattere"/>
                          <w:sz w:val="52"/>
                        </w:rPr>
                        <w:t>IaaS</w:t>
                      </w:r>
                      <w:proofErr w:type="spellEnd"/>
                      <w:r w:rsidRPr="0042311A">
                        <w:rPr>
                          <w:rStyle w:val="NomeConvenzioneCarattere"/>
                          <w:sz w:val="52"/>
                        </w:rPr>
                        <w:t xml:space="preserve"> e </w:t>
                      </w:r>
                      <w:proofErr w:type="spellStart"/>
                      <w:r w:rsidRPr="0042311A">
                        <w:rPr>
                          <w:rStyle w:val="NomeConvenzioneCarattere"/>
                          <w:sz w:val="52"/>
                        </w:rPr>
                        <w:t>PaaS</w:t>
                      </w:r>
                      <w:proofErr w:type="spellEnd"/>
                      <w:r w:rsidRPr="0042311A">
                        <w:rPr>
                          <w:rStyle w:val="NomeConvenzioneCarattere"/>
                          <w:sz w:val="52"/>
                        </w:rPr>
                        <w:t xml:space="preserve"> – Appalto Specifico</w:t>
                      </w:r>
                    </w:p>
                    <w:p w14:paraId="6FC2442D" w14:textId="77C7B27A" w:rsidR="00281C64" w:rsidRPr="000E0604" w:rsidRDefault="00281C64" w:rsidP="00621640">
                      <w:pPr>
                        <w:pStyle w:val="LottoNumero"/>
                        <w:rPr>
                          <w:rStyle w:val="NomeConvenzioneCarattere"/>
                          <w:b/>
                          <w:i w:val="0"/>
                          <w:color w:val="821B4C"/>
                          <w:sz w:val="40"/>
                        </w:rPr>
                      </w:pPr>
                      <w:r>
                        <w:rPr>
                          <w:rStyle w:val="NomeConvenzioneCarattere"/>
                          <w:b/>
                          <w:i w:val="0"/>
                          <w:color w:val="821B4C"/>
                          <w:sz w:val="40"/>
                        </w:rPr>
                        <w:t>Lotto 1</w:t>
                      </w:r>
                    </w:p>
                  </w:txbxContent>
                </v:textbox>
              </v:shape>
            </w:pict>
          </mc:Fallback>
        </mc:AlternateContent>
      </w:r>
      <w:r w:rsidR="00621640" w:rsidRPr="00281C64">
        <w:rPr>
          <w:noProof/>
        </w:rPr>
        <mc:AlternateContent>
          <mc:Choice Requires="wps">
            <w:drawing>
              <wp:anchor distT="0" distB="0" distL="114300" distR="114300" simplePos="0" relativeHeight="251662336" behindDoc="0" locked="0" layoutInCell="1" allowOverlap="1" wp14:anchorId="47AFB93E" wp14:editId="3B626C3F">
                <wp:simplePos x="0" y="0"/>
                <wp:positionH relativeFrom="column">
                  <wp:posOffset>-720090</wp:posOffset>
                </wp:positionH>
                <wp:positionV relativeFrom="paragraph">
                  <wp:posOffset>6854825</wp:posOffset>
                </wp:positionV>
                <wp:extent cx="7560000" cy="1171575"/>
                <wp:effectExtent l="0" t="0" r="3175" b="9525"/>
                <wp:wrapSquare wrapText="bothSides"/>
                <wp:docPr id="11" name="Rettangolo 11"/>
                <wp:cNvGraphicFramePr/>
                <a:graphic xmlns:a="http://schemas.openxmlformats.org/drawingml/2006/main">
                  <a:graphicData uri="http://schemas.microsoft.com/office/word/2010/wordprocessingShape">
                    <wps:wsp>
                      <wps:cNvSpPr/>
                      <wps:spPr>
                        <a:xfrm>
                          <a:off x="0" y="0"/>
                          <a:ext cx="7560000" cy="1171575"/>
                        </a:xfrm>
                        <a:prstGeom prst="rect">
                          <a:avLst/>
                        </a:prstGeom>
                        <a:solidFill>
                          <a:srgbClr val="BE396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B057CC" w14:textId="5FB31866" w:rsidR="00281C64" w:rsidRPr="00621640" w:rsidRDefault="00281C64" w:rsidP="005E6EEB">
                            <w:pPr>
                              <w:spacing w:before="0" w:after="0" w:line="240" w:lineRule="atLeast"/>
                              <w:ind w:left="851"/>
                              <w:rPr>
                                <w:rFonts w:ascii="Titillium Web" w:hAnsi="Titillium Web"/>
                                <w:b/>
                                <w:color w:val="FFFFFF" w:themeColor="background1"/>
                                <w:sz w:val="52"/>
                                <w:szCs w:val="52"/>
                              </w:rPr>
                            </w:pPr>
                            <w:r>
                              <w:rPr>
                                <w:rFonts w:ascii="Titillium Web" w:hAnsi="Titillium Web"/>
                                <w:b/>
                                <w:color w:val="FFFFFF" w:themeColor="background1"/>
                                <w:sz w:val="52"/>
                                <w:szCs w:val="52"/>
                              </w:rPr>
                              <w:t>GUIDA ALL’ACCORDO QUADRO</w:t>
                            </w:r>
                          </w:p>
                        </w:txbxContent>
                      </wps:txbx>
                      <wps:bodyPr rot="0" spcFirstLastPara="0" vertOverflow="overflow" horzOverflow="overflow" vert="horz" wrap="square" lIns="91440" tIns="45720" rIns="540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AFB93E" id="Rettangolo 11" o:spid="_x0000_s1027" style="position:absolute;left:0;text-align:left;margin-left:-56.7pt;margin-top:539.75pt;width:595.3pt;height:92.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" fillcolor="#be3969" stroked="f" strokeweight="2pt">
                <v:textbox inset=",,15mm">
                  <w:txbxContent>
                    <w:p w14:paraId="47B057CC" w14:textId="5FB31866" w:rsidR="00281C64" w:rsidRPr="00621640" w:rsidRDefault="00281C64" w:rsidP="005E6EEB">
                      <w:pPr>
                        <w:spacing w:before="0" w:after="0" w:line="240" w:lineRule="atLeast"/>
                        <w:ind w:left="851"/>
                        <w:rPr>
                          <w:rFonts w:ascii="Titillium Web" w:hAnsi="Titillium Web"/>
                          <w:b/>
                          <w:color w:val="FFFFFF" w:themeColor="background1"/>
                          <w:sz w:val="52"/>
                          <w:szCs w:val="52"/>
                        </w:rPr>
                      </w:pPr>
                      <w:r>
                        <w:rPr>
                          <w:rFonts w:ascii="Titillium Web" w:hAnsi="Titillium Web"/>
                          <w:b/>
                          <w:color w:val="FFFFFF" w:themeColor="background1"/>
                          <w:sz w:val="52"/>
                          <w:szCs w:val="52"/>
                        </w:rPr>
                        <w:t>GUIDA ALL’ACCORDO QUADRO</w:t>
                      </w:r>
                    </w:p>
                  </w:txbxContent>
                </v:textbox>
                <w10:wrap type="square"/>
              </v:rect>
            </w:pict>
          </mc:Fallback>
        </mc:AlternateContent>
      </w:r>
      <w:r w:rsidR="00FF6BED" w:rsidRPr="00281C64">
        <w:br w:type="page"/>
      </w:r>
    </w:p>
    <w:sdt>
      <w:sdtPr>
        <w:rPr>
          <w:rFonts w:ascii="Open Sans" w:hAnsi="Open Sans"/>
          <w:b w:val="0"/>
          <w:bCs w:val="0"/>
          <w:caps w:val="0"/>
          <w:color w:val="534D49"/>
          <w:sz w:val="20"/>
        </w:rPr>
        <w:id w:val="1099070815"/>
        <w:docPartObj>
          <w:docPartGallery w:val="Table of Contents"/>
          <w:docPartUnique/>
        </w:docPartObj>
      </w:sdtPr>
      <w:sdtEndPr/>
      <w:sdtContent>
        <w:p w14:paraId="2BED5F12" w14:textId="77777777" w:rsidR="00B91954" w:rsidRPr="00281C64" w:rsidRDefault="00B91954" w:rsidP="00CD002E">
          <w:pPr>
            <w:pStyle w:val="SommarioAIr"/>
          </w:pPr>
          <w:r w:rsidRPr="00281C64">
            <w:t>Sommario</w:t>
          </w:r>
        </w:p>
        <w:p w14:paraId="1BF00FAC" w14:textId="221CE25A" w:rsidR="00C5194E" w:rsidRDefault="00B91954">
          <w:pPr>
            <w:pStyle w:val="Sommario1"/>
            <w:tabs>
              <w:tab w:val="left" w:pos="567"/>
            </w:tabs>
            <w:rPr>
              <w:rFonts w:asciiTheme="minorHAnsi" w:eastAsiaTheme="minorEastAsia" w:hAnsiTheme="minorHAnsi" w:cstheme="minorBidi"/>
              <w:b w:val="0"/>
              <w:bCs w:val="0"/>
              <w:caps w:val="0"/>
              <w:noProof/>
              <w:color w:val="auto"/>
              <w:sz w:val="22"/>
            </w:rPr>
          </w:pPr>
          <w:r w:rsidRPr="00281C64">
            <w:rPr>
              <w:smallCaps/>
            </w:rPr>
            <w:fldChar w:fldCharType="begin"/>
          </w:r>
          <w:r w:rsidRPr="00281C64">
            <w:instrText xml:space="preserve"> TOC \o "1-3" \h \z \u </w:instrText>
          </w:r>
          <w:r w:rsidRPr="00281C64">
            <w:rPr>
              <w:smallCaps/>
            </w:rPr>
            <w:fldChar w:fldCharType="separate"/>
          </w:r>
          <w:hyperlink w:anchor="_Toc99718061" w:history="1">
            <w:r w:rsidR="00C5194E" w:rsidRPr="00B936A0">
              <w:rPr>
                <w:rStyle w:val="Collegamentoipertestuale"/>
              </w:rPr>
              <w:t>1.</w:t>
            </w:r>
            <w:r w:rsidR="00C5194E">
              <w:rPr>
                <w:rFonts w:asciiTheme="minorHAnsi" w:eastAsiaTheme="minorEastAsia" w:hAnsiTheme="minorHAnsi" w:cstheme="minorBidi"/>
                <w:b w:val="0"/>
                <w:bCs w:val="0"/>
                <w:caps w:val="0"/>
                <w:noProof/>
                <w:color w:val="auto"/>
                <w:sz w:val="22"/>
              </w:rPr>
              <w:tab/>
            </w:r>
            <w:r w:rsidR="00C5194E" w:rsidRPr="00B936A0">
              <w:rPr>
                <w:rStyle w:val="Collegamentoipertestuale"/>
              </w:rPr>
              <w:t>Premessa</w:t>
            </w:r>
            <w:r w:rsidR="00C5194E">
              <w:rPr>
                <w:noProof/>
                <w:webHidden/>
              </w:rPr>
              <w:tab/>
            </w:r>
            <w:r w:rsidR="00C5194E">
              <w:rPr>
                <w:noProof/>
                <w:webHidden/>
              </w:rPr>
              <w:fldChar w:fldCharType="begin"/>
            </w:r>
            <w:r w:rsidR="00C5194E">
              <w:rPr>
                <w:noProof/>
                <w:webHidden/>
              </w:rPr>
              <w:instrText xml:space="preserve"> PAGEREF _Toc99718061 \h </w:instrText>
            </w:r>
            <w:r w:rsidR="00C5194E">
              <w:rPr>
                <w:noProof/>
                <w:webHidden/>
              </w:rPr>
            </w:r>
            <w:r w:rsidR="00C5194E">
              <w:rPr>
                <w:noProof/>
                <w:webHidden/>
              </w:rPr>
              <w:fldChar w:fldCharType="separate"/>
            </w:r>
            <w:r w:rsidR="00C5194E">
              <w:rPr>
                <w:noProof/>
                <w:webHidden/>
              </w:rPr>
              <w:t>4</w:t>
            </w:r>
            <w:r w:rsidR="00C5194E">
              <w:rPr>
                <w:noProof/>
                <w:webHidden/>
              </w:rPr>
              <w:fldChar w:fldCharType="end"/>
            </w:r>
          </w:hyperlink>
        </w:p>
        <w:p w14:paraId="63960589" w14:textId="72A0919B" w:rsidR="00C5194E" w:rsidRDefault="008A1024">
          <w:pPr>
            <w:pStyle w:val="Sommario1"/>
            <w:tabs>
              <w:tab w:val="left" w:pos="567"/>
            </w:tabs>
            <w:rPr>
              <w:rFonts w:asciiTheme="minorHAnsi" w:eastAsiaTheme="minorEastAsia" w:hAnsiTheme="minorHAnsi" w:cstheme="minorBidi"/>
              <w:b w:val="0"/>
              <w:bCs w:val="0"/>
              <w:caps w:val="0"/>
              <w:noProof/>
              <w:color w:val="auto"/>
              <w:sz w:val="22"/>
            </w:rPr>
          </w:pPr>
          <w:hyperlink w:anchor="_Toc99718062" w:history="1">
            <w:r w:rsidR="00C5194E" w:rsidRPr="00B936A0">
              <w:rPr>
                <w:rStyle w:val="Collegamentoipertestuale"/>
              </w:rPr>
              <w:t>2.</w:t>
            </w:r>
            <w:r w:rsidR="00C5194E">
              <w:rPr>
                <w:rFonts w:asciiTheme="minorHAnsi" w:eastAsiaTheme="minorEastAsia" w:hAnsiTheme="minorHAnsi" w:cstheme="minorBidi"/>
                <w:b w:val="0"/>
                <w:bCs w:val="0"/>
                <w:caps w:val="0"/>
                <w:noProof/>
                <w:color w:val="auto"/>
                <w:sz w:val="22"/>
              </w:rPr>
              <w:tab/>
            </w:r>
            <w:r w:rsidR="00C5194E" w:rsidRPr="00B936A0">
              <w:rPr>
                <w:rStyle w:val="Collegamentoipertestuale"/>
              </w:rPr>
              <w:t>Modello di funzionamento dell’iniziativa Public Cloud IaaS e PaaS – Lotto 1</w:t>
            </w:r>
            <w:r w:rsidR="00C5194E">
              <w:rPr>
                <w:noProof/>
                <w:webHidden/>
              </w:rPr>
              <w:tab/>
            </w:r>
            <w:r w:rsidR="00C5194E">
              <w:rPr>
                <w:noProof/>
                <w:webHidden/>
              </w:rPr>
              <w:fldChar w:fldCharType="begin"/>
            </w:r>
            <w:r w:rsidR="00C5194E">
              <w:rPr>
                <w:noProof/>
                <w:webHidden/>
              </w:rPr>
              <w:instrText xml:space="preserve"> PAGEREF _Toc99718062 \h </w:instrText>
            </w:r>
            <w:r w:rsidR="00C5194E">
              <w:rPr>
                <w:noProof/>
                <w:webHidden/>
              </w:rPr>
            </w:r>
            <w:r w:rsidR="00C5194E">
              <w:rPr>
                <w:noProof/>
                <w:webHidden/>
              </w:rPr>
              <w:fldChar w:fldCharType="separate"/>
            </w:r>
            <w:r w:rsidR="00C5194E">
              <w:rPr>
                <w:noProof/>
                <w:webHidden/>
              </w:rPr>
              <w:t>5</w:t>
            </w:r>
            <w:r w:rsidR="00C5194E">
              <w:rPr>
                <w:noProof/>
                <w:webHidden/>
              </w:rPr>
              <w:fldChar w:fldCharType="end"/>
            </w:r>
          </w:hyperlink>
        </w:p>
        <w:p w14:paraId="0D5F40A0" w14:textId="60BA945E" w:rsidR="00C5194E" w:rsidRDefault="008A1024">
          <w:pPr>
            <w:pStyle w:val="Sommario1"/>
            <w:tabs>
              <w:tab w:val="left" w:pos="567"/>
            </w:tabs>
            <w:rPr>
              <w:rFonts w:asciiTheme="minorHAnsi" w:eastAsiaTheme="minorEastAsia" w:hAnsiTheme="minorHAnsi" w:cstheme="minorBidi"/>
              <w:b w:val="0"/>
              <w:bCs w:val="0"/>
              <w:caps w:val="0"/>
              <w:noProof/>
              <w:color w:val="auto"/>
              <w:sz w:val="22"/>
            </w:rPr>
          </w:pPr>
          <w:hyperlink w:anchor="_Toc99718063" w:history="1">
            <w:r w:rsidR="00C5194E" w:rsidRPr="00B936A0">
              <w:rPr>
                <w:rStyle w:val="Collegamentoipertestuale"/>
              </w:rPr>
              <w:t>3.</w:t>
            </w:r>
            <w:r w:rsidR="00C5194E">
              <w:rPr>
                <w:rFonts w:asciiTheme="minorHAnsi" w:eastAsiaTheme="minorEastAsia" w:hAnsiTheme="minorHAnsi" w:cstheme="minorBidi"/>
                <w:b w:val="0"/>
                <w:bCs w:val="0"/>
                <w:caps w:val="0"/>
                <w:noProof/>
                <w:color w:val="auto"/>
                <w:sz w:val="22"/>
              </w:rPr>
              <w:tab/>
            </w:r>
            <w:r w:rsidR="00C5194E" w:rsidRPr="00B936A0">
              <w:rPr>
                <w:rStyle w:val="Collegamentoipertestuale"/>
              </w:rPr>
              <w:t>Oggetto dell’Accordo Quadro</w:t>
            </w:r>
            <w:r w:rsidR="00C5194E">
              <w:rPr>
                <w:noProof/>
                <w:webHidden/>
              </w:rPr>
              <w:tab/>
            </w:r>
            <w:r w:rsidR="00C5194E">
              <w:rPr>
                <w:noProof/>
                <w:webHidden/>
              </w:rPr>
              <w:fldChar w:fldCharType="begin"/>
            </w:r>
            <w:r w:rsidR="00C5194E">
              <w:rPr>
                <w:noProof/>
                <w:webHidden/>
              </w:rPr>
              <w:instrText xml:space="preserve"> PAGEREF _Toc99718063 \h </w:instrText>
            </w:r>
            <w:r w:rsidR="00C5194E">
              <w:rPr>
                <w:noProof/>
                <w:webHidden/>
              </w:rPr>
            </w:r>
            <w:r w:rsidR="00C5194E">
              <w:rPr>
                <w:noProof/>
                <w:webHidden/>
              </w:rPr>
              <w:fldChar w:fldCharType="separate"/>
            </w:r>
            <w:r w:rsidR="00C5194E">
              <w:rPr>
                <w:noProof/>
                <w:webHidden/>
              </w:rPr>
              <w:t>6</w:t>
            </w:r>
            <w:r w:rsidR="00C5194E">
              <w:rPr>
                <w:noProof/>
                <w:webHidden/>
              </w:rPr>
              <w:fldChar w:fldCharType="end"/>
            </w:r>
          </w:hyperlink>
        </w:p>
        <w:p w14:paraId="1A3EE42A" w14:textId="7B0E01D9" w:rsidR="00C5194E" w:rsidRDefault="008A1024">
          <w:pPr>
            <w:pStyle w:val="Sommario2"/>
            <w:tabs>
              <w:tab w:val="left" w:pos="1032"/>
            </w:tabs>
            <w:rPr>
              <w:rFonts w:asciiTheme="minorHAnsi" w:eastAsiaTheme="minorEastAsia" w:hAnsiTheme="minorHAnsi" w:cstheme="minorBidi"/>
              <w:b w:val="0"/>
              <w:bCs w:val="0"/>
              <w:smallCaps w:val="0"/>
              <w:noProof/>
              <w:color w:val="auto"/>
            </w:rPr>
          </w:pPr>
          <w:hyperlink w:anchor="_Toc99718064" w:history="1">
            <w:r w:rsidR="00C5194E" w:rsidRPr="00B936A0">
              <w:rPr>
                <w:rStyle w:val="Collegamentoipertestuale"/>
              </w:rPr>
              <w:t>3.1.</w:t>
            </w:r>
            <w:r w:rsidR="00C5194E">
              <w:rPr>
                <w:rFonts w:asciiTheme="minorHAnsi" w:eastAsiaTheme="minorEastAsia" w:hAnsiTheme="minorHAnsi" w:cstheme="minorBidi"/>
                <w:b w:val="0"/>
                <w:bCs w:val="0"/>
                <w:smallCaps w:val="0"/>
                <w:noProof/>
                <w:color w:val="auto"/>
              </w:rPr>
              <w:tab/>
            </w:r>
            <w:r w:rsidR="00C5194E" w:rsidRPr="00B936A0">
              <w:rPr>
                <w:rStyle w:val="Collegamentoipertestuale"/>
              </w:rPr>
              <w:t>Durata dell’Accordo quadro</w:t>
            </w:r>
            <w:r w:rsidR="00C5194E">
              <w:rPr>
                <w:noProof/>
                <w:webHidden/>
              </w:rPr>
              <w:tab/>
            </w:r>
            <w:r w:rsidR="00C5194E">
              <w:rPr>
                <w:noProof/>
                <w:webHidden/>
              </w:rPr>
              <w:fldChar w:fldCharType="begin"/>
            </w:r>
            <w:r w:rsidR="00C5194E">
              <w:rPr>
                <w:noProof/>
                <w:webHidden/>
              </w:rPr>
              <w:instrText xml:space="preserve"> PAGEREF _Toc99718064 \h </w:instrText>
            </w:r>
            <w:r w:rsidR="00C5194E">
              <w:rPr>
                <w:noProof/>
                <w:webHidden/>
              </w:rPr>
            </w:r>
            <w:r w:rsidR="00C5194E">
              <w:rPr>
                <w:noProof/>
                <w:webHidden/>
              </w:rPr>
              <w:fldChar w:fldCharType="separate"/>
            </w:r>
            <w:r w:rsidR="00C5194E">
              <w:rPr>
                <w:noProof/>
                <w:webHidden/>
              </w:rPr>
              <w:t>6</w:t>
            </w:r>
            <w:r w:rsidR="00C5194E">
              <w:rPr>
                <w:noProof/>
                <w:webHidden/>
              </w:rPr>
              <w:fldChar w:fldCharType="end"/>
            </w:r>
          </w:hyperlink>
        </w:p>
        <w:p w14:paraId="79C3CEE9" w14:textId="174789EC" w:rsidR="00C5194E" w:rsidRDefault="008A1024">
          <w:pPr>
            <w:pStyle w:val="Sommario2"/>
            <w:tabs>
              <w:tab w:val="left" w:pos="1032"/>
            </w:tabs>
            <w:rPr>
              <w:rFonts w:asciiTheme="minorHAnsi" w:eastAsiaTheme="minorEastAsia" w:hAnsiTheme="minorHAnsi" w:cstheme="minorBidi"/>
              <w:b w:val="0"/>
              <w:bCs w:val="0"/>
              <w:smallCaps w:val="0"/>
              <w:noProof/>
              <w:color w:val="auto"/>
            </w:rPr>
          </w:pPr>
          <w:hyperlink w:anchor="_Toc99718065" w:history="1">
            <w:r w:rsidR="00C5194E" w:rsidRPr="00B936A0">
              <w:rPr>
                <w:rStyle w:val="Collegamentoipertestuale"/>
              </w:rPr>
              <w:t>3.2.</w:t>
            </w:r>
            <w:r w:rsidR="00C5194E">
              <w:rPr>
                <w:rFonts w:asciiTheme="minorHAnsi" w:eastAsiaTheme="minorEastAsia" w:hAnsiTheme="minorHAnsi" w:cstheme="minorBidi"/>
                <w:b w:val="0"/>
                <w:bCs w:val="0"/>
                <w:smallCaps w:val="0"/>
                <w:noProof/>
                <w:color w:val="auto"/>
              </w:rPr>
              <w:tab/>
            </w:r>
            <w:r w:rsidR="00C5194E" w:rsidRPr="00B936A0">
              <w:rPr>
                <w:rStyle w:val="Collegamentoipertestuale"/>
              </w:rPr>
              <w:t>Le amministrazioni che possono aderire</w:t>
            </w:r>
            <w:r w:rsidR="00C5194E">
              <w:rPr>
                <w:noProof/>
                <w:webHidden/>
              </w:rPr>
              <w:tab/>
            </w:r>
            <w:r w:rsidR="00C5194E">
              <w:rPr>
                <w:noProof/>
                <w:webHidden/>
              </w:rPr>
              <w:fldChar w:fldCharType="begin"/>
            </w:r>
            <w:r w:rsidR="00C5194E">
              <w:rPr>
                <w:noProof/>
                <w:webHidden/>
              </w:rPr>
              <w:instrText xml:space="preserve"> PAGEREF _Toc99718065 \h </w:instrText>
            </w:r>
            <w:r w:rsidR="00C5194E">
              <w:rPr>
                <w:noProof/>
                <w:webHidden/>
              </w:rPr>
            </w:r>
            <w:r w:rsidR="00C5194E">
              <w:rPr>
                <w:noProof/>
                <w:webHidden/>
              </w:rPr>
              <w:fldChar w:fldCharType="separate"/>
            </w:r>
            <w:r w:rsidR="00C5194E">
              <w:rPr>
                <w:noProof/>
                <w:webHidden/>
              </w:rPr>
              <w:t>7</w:t>
            </w:r>
            <w:r w:rsidR="00C5194E">
              <w:rPr>
                <w:noProof/>
                <w:webHidden/>
              </w:rPr>
              <w:fldChar w:fldCharType="end"/>
            </w:r>
          </w:hyperlink>
        </w:p>
        <w:p w14:paraId="67E5AE90" w14:textId="1A77A2C4" w:rsidR="00C5194E" w:rsidRDefault="008A1024">
          <w:pPr>
            <w:pStyle w:val="Sommario2"/>
            <w:tabs>
              <w:tab w:val="left" w:pos="1032"/>
            </w:tabs>
            <w:rPr>
              <w:rFonts w:asciiTheme="minorHAnsi" w:eastAsiaTheme="minorEastAsia" w:hAnsiTheme="minorHAnsi" w:cstheme="minorBidi"/>
              <w:b w:val="0"/>
              <w:bCs w:val="0"/>
              <w:smallCaps w:val="0"/>
              <w:noProof/>
              <w:color w:val="auto"/>
            </w:rPr>
          </w:pPr>
          <w:hyperlink w:anchor="_Toc99718066" w:history="1">
            <w:r w:rsidR="00C5194E" w:rsidRPr="00B936A0">
              <w:rPr>
                <w:rStyle w:val="Collegamentoipertestuale"/>
              </w:rPr>
              <w:t>3.3.</w:t>
            </w:r>
            <w:r w:rsidR="00C5194E">
              <w:rPr>
                <w:rFonts w:asciiTheme="minorHAnsi" w:eastAsiaTheme="minorEastAsia" w:hAnsiTheme="minorHAnsi" w:cstheme="minorBidi"/>
                <w:b w:val="0"/>
                <w:bCs w:val="0"/>
                <w:smallCaps w:val="0"/>
                <w:noProof/>
                <w:color w:val="auto"/>
              </w:rPr>
              <w:tab/>
            </w:r>
            <w:r w:rsidR="00C5194E" w:rsidRPr="00B936A0">
              <w:rPr>
                <w:rStyle w:val="Collegamentoipertestuale"/>
              </w:rPr>
              <w:t>Modalità di adesione all’Accordo Quadro con confronto competitivo</w:t>
            </w:r>
            <w:r w:rsidR="00C5194E">
              <w:rPr>
                <w:noProof/>
                <w:webHidden/>
              </w:rPr>
              <w:tab/>
            </w:r>
            <w:r w:rsidR="00C5194E">
              <w:rPr>
                <w:noProof/>
                <w:webHidden/>
              </w:rPr>
              <w:fldChar w:fldCharType="begin"/>
            </w:r>
            <w:r w:rsidR="00C5194E">
              <w:rPr>
                <w:noProof/>
                <w:webHidden/>
              </w:rPr>
              <w:instrText xml:space="preserve"> PAGEREF _Toc99718066 \h </w:instrText>
            </w:r>
            <w:r w:rsidR="00C5194E">
              <w:rPr>
                <w:noProof/>
                <w:webHidden/>
              </w:rPr>
            </w:r>
            <w:r w:rsidR="00C5194E">
              <w:rPr>
                <w:noProof/>
                <w:webHidden/>
              </w:rPr>
              <w:fldChar w:fldCharType="separate"/>
            </w:r>
            <w:r w:rsidR="00C5194E">
              <w:rPr>
                <w:noProof/>
                <w:webHidden/>
              </w:rPr>
              <w:t>7</w:t>
            </w:r>
            <w:r w:rsidR="00C5194E">
              <w:rPr>
                <w:noProof/>
                <w:webHidden/>
              </w:rPr>
              <w:fldChar w:fldCharType="end"/>
            </w:r>
          </w:hyperlink>
        </w:p>
        <w:p w14:paraId="7166B622" w14:textId="7808020B" w:rsidR="00C5194E" w:rsidRDefault="008A1024">
          <w:pPr>
            <w:pStyle w:val="Sommario2"/>
            <w:tabs>
              <w:tab w:val="left" w:pos="1032"/>
            </w:tabs>
            <w:rPr>
              <w:rFonts w:asciiTheme="minorHAnsi" w:eastAsiaTheme="minorEastAsia" w:hAnsiTheme="minorHAnsi" w:cstheme="minorBidi"/>
              <w:b w:val="0"/>
              <w:bCs w:val="0"/>
              <w:smallCaps w:val="0"/>
              <w:noProof/>
              <w:color w:val="auto"/>
            </w:rPr>
          </w:pPr>
          <w:hyperlink w:anchor="_Toc99718067" w:history="1">
            <w:r w:rsidR="00C5194E" w:rsidRPr="00B936A0">
              <w:rPr>
                <w:rStyle w:val="Collegamentoipertestuale"/>
              </w:rPr>
              <w:t>3.4.</w:t>
            </w:r>
            <w:r w:rsidR="00C5194E">
              <w:rPr>
                <w:rFonts w:asciiTheme="minorHAnsi" w:eastAsiaTheme="minorEastAsia" w:hAnsiTheme="minorHAnsi" w:cstheme="minorBidi"/>
                <w:b w:val="0"/>
                <w:bCs w:val="0"/>
                <w:smallCaps w:val="0"/>
                <w:noProof/>
                <w:color w:val="auto"/>
              </w:rPr>
              <w:tab/>
            </w:r>
            <w:r w:rsidR="00C5194E" w:rsidRPr="00B936A0">
              <w:rPr>
                <w:rStyle w:val="Collegamentoipertestuale"/>
              </w:rPr>
              <w:t>Adesione in modalità con riapertura del confronto competitivo</w:t>
            </w:r>
            <w:r w:rsidR="00C5194E">
              <w:rPr>
                <w:noProof/>
                <w:webHidden/>
              </w:rPr>
              <w:tab/>
            </w:r>
            <w:r w:rsidR="00C5194E">
              <w:rPr>
                <w:noProof/>
                <w:webHidden/>
              </w:rPr>
              <w:fldChar w:fldCharType="begin"/>
            </w:r>
            <w:r w:rsidR="00C5194E">
              <w:rPr>
                <w:noProof/>
                <w:webHidden/>
              </w:rPr>
              <w:instrText xml:space="preserve"> PAGEREF _Toc99718067 \h </w:instrText>
            </w:r>
            <w:r w:rsidR="00C5194E">
              <w:rPr>
                <w:noProof/>
                <w:webHidden/>
              </w:rPr>
            </w:r>
            <w:r w:rsidR="00C5194E">
              <w:rPr>
                <w:noProof/>
                <w:webHidden/>
              </w:rPr>
              <w:fldChar w:fldCharType="separate"/>
            </w:r>
            <w:r w:rsidR="00C5194E">
              <w:rPr>
                <w:noProof/>
                <w:webHidden/>
              </w:rPr>
              <w:t>8</w:t>
            </w:r>
            <w:r w:rsidR="00C5194E">
              <w:rPr>
                <w:noProof/>
                <w:webHidden/>
              </w:rPr>
              <w:fldChar w:fldCharType="end"/>
            </w:r>
          </w:hyperlink>
        </w:p>
        <w:p w14:paraId="0C661ECE" w14:textId="718CCCF4" w:rsidR="00C5194E" w:rsidRDefault="008A1024">
          <w:pPr>
            <w:pStyle w:val="Sommario2"/>
            <w:tabs>
              <w:tab w:val="left" w:pos="1032"/>
            </w:tabs>
            <w:rPr>
              <w:rFonts w:asciiTheme="minorHAnsi" w:eastAsiaTheme="minorEastAsia" w:hAnsiTheme="minorHAnsi" w:cstheme="minorBidi"/>
              <w:b w:val="0"/>
              <w:bCs w:val="0"/>
              <w:smallCaps w:val="0"/>
              <w:noProof/>
              <w:color w:val="auto"/>
            </w:rPr>
          </w:pPr>
          <w:hyperlink w:anchor="_Toc99718068" w:history="1">
            <w:r w:rsidR="00C5194E" w:rsidRPr="00B936A0">
              <w:rPr>
                <w:rStyle w:val="Collegamentoipertestuale"/>
              </w:rPr>
              <w:t>3.5.</w:t>
            </w:r>
            <w:r w:rsidR="00C5194E">
              <w:rPr>
                <w:rFonts w:asciiTheme="minorHAnsi" w:eastAsiaTheme="minorEastAsia" w:hAnsiTheme="minorHAnsi" w:cstheme="minorBidi"/>
                <w:b w:val="0"/>
                <w:bCs w:val="0"/>
                <w:smallCaps w:val="0"/>
                <w:noProof/>
                <w:color w:val="auto"/>
              </w:rPr>
              <w:tab/>
            </w:r>
            <w:r w:rsidR="00C5194E" w:rsidRPr="00B936A0">
              <w:rPr>
                <w:rStyle w:val="Collegamentoipertestuale"/>
              </w:rPr>
              <w:t>Kit per Appalto Specifico</w:t>
            </w:r>
            <w:r w:rsidR="00C5194E">
              <w:rPr>
                <w:noProof/>
                <w:webHidden/>
              </w:rPr>
              <w:tab/>
            </w:r>
            <w:r w:rsidR="00C5194E">
              <w:rPr>
                <w:noProof/>
                <w:webHidden/>
              </w:rPr>
              <w:fldChar w:fldCharType="begin"/>
            </w:r>
            <w:r w:rsidR="00C5194E">
              <w:rPr>
                <w:noProof/>
                <w:webHidden/>
              </w:rPr>
              <w:instrText xml:space="preserve"> PAGEREF _Toc99718068 \h </w:instrText>
            </w:r>
            <w:r w:rsidR="00C5194E">
              <w:rPr>
                <w:noProof/>
                <w:webHidden/>
              </w:rPr>
            </w:r>
            <w:r w:rsidR="00C5194E">
              <w:rPr>
                <w:noProof/>
                <w:webHidden/>
              </w:rPr>
              <w:fldChar w:fldCharType="separate"/>
            </w:r>
            <w:r w:rsidR="00C5194E">
              <w:rPr>
                <w:noProof/>
                <w:webHidden/>
              </w:rPr>
              <w:t>10</w:t>
            </w:r>
            <w:r w:rsidR="00C5194E">
              <w:rPr>
                <w:noProof/>
                <w:webHidden/>
              </w:rPr>
              <w:fldChar w:fldCharType="end"/>
            </w:r>
          </w:hyperlink>
        </w:p>
        <w:p w14:paraId="44B88067" w14:textId="44CDC451" w:rsidR="00C5194E" w:rsidRDefault="008A1024">
          <w:pPr>
            <w:pStyle w:val="Sommario2"/>
            <w:tabs>
              <w:tab w:val="left" w:pos="1032"/>
            </w:tabs>
            <w:rPr>
              <w:rFonts w:asciiTheme="minorHAnsi" w:eastAsiaTheme="minorEastAsia" w:hAnsiTheme="minorHAnsi" w:cstheme="minorBidi"/>
              <w:b w:val="0"/>
              <w:bCs w:val="0"/>
              <w:smallCaps w:val="0"/>
              <w:noProof/>
              <w:color w:val="auto"/>
            </w:rPr>
          </w:pPr>
          <w:hyperlink w:anchor="_Toc99718069" w:history="1">
            <w:r w:rsidR="00C5194E" w:rsidRPr="00B936A0">
              <w:rPr>
                <w:rStyle w:val="Collegamentoipertestuale"/>
              </w:rPr>
              <w:t>3.6.</w:t>
            </w:r>
            <w:r w:rsidR="00C5194E">
              <w:rPr>
                <w:rFonts w:asciiTheme="minorHAnsi" w:eastAsiaTheme="minorEastAsia" w:hAnsiTheme="minorHAnsi" w:cstheme="minorBidi"/>
                <w:b w:val="0"/>
                <w:bCs w:val="0"/>
                <w:smallCaps w:val="0"/>
                <w:noProof/>
                <w:color w:val="auto"/>
              </w:rPr>
              <w:tab/>
            </w:r>
            <w:r w:rsidR="00C5194E" w:rsidRPr="00B936A0">
              <w:rPr>
                <w:rStyle w:val="Collegamentoipertestuale"/>
              </w:rPr>
              <w:t>Criterio di aggiudicazione dell’AS</w:t>
            </w:r>
            <w:r w:rsidR="00C5194E">
              <w:rPr>
                <w:noProof/>
                <w:webHidden/>
              </w:rPr>
              <w:tab/>
            </w:r>
            <w:r w:rsidR="00C5194E">
              <w:rPr>
                <w:noProof/>
                <w:webHidden/>
              </w:rPr>
              <w:fldChar w:fldCharType="begin"/>
            </w:r>
            <w:r w:rsidR="00C5194E">
              <w:rPr>
                <w:noProof/>
                <w:webHidden/>
              </w:rPr>
              <w:instrText xml:space="preserve"> PAGEREF _Toc99718069 \h </w:instrText>
            </w:r>
            <w:r w:rsidR="00C5194E">
              <w:rPr>
                <w:noProof/>
                <w:webHidden/>
              </w:rPr>
            </w:r>
            <w:r w:rsidR="00C5194E">
              <w:rPr>
                <w:noProof/>
                <w:webHidden/>
              </w:rPr>
              <w:fldChar w:fldCharType="separate"/>
            </w:r>
            <w:r w:rsidR="00C5194E">
              <w:rPr>
                <w:noProof/>
                <w:webHidden/>
              </w:rPr>
              <w:t>12</w:t>
            </w:r>
            <w:r w:rsidR="00C5194E">
              <w:rPr>
                <w:noProof/>
                <w:webHidden/>
              </w:rPr>
              <w:fldChar w:fldCharType="end"/>
            </w:r>
          </w:hyperlink>
        </w:p>
        <w:p w14:paraId="7522D8C4" w14:textId="4B4C55DE" w:rsidR="00C5194E" w:rsidRDefault="008A1024">
          <w:pPr>
            <w:pStyle w:val="Sommario2"/>
            <w:tabs>
              <w:tab w:val="left" w:pos="1032"/>
            </w:tabs>
            <w:rPr>
              <w:rFonts w:asciiTheme="minorHAnsi" w:eastAsiaTheme="minorEastAsia" w:hAnsiTheme="minorHAnsi" w:cstheme="minorBidi"/>
              <w:b w:val="0"/>
              <w:bCs w:val="0"/>
              <w:smallCaps w:val="0"/>
              <w:noProof/>
              <w:color w:val="auto"/>
            </w:rPr>
          </w:pPr>
          <w:hyperlink w:anchor="_Toc99718070" w:history="1">
            <w:r w:rsidR="00C5194E" w:rsidRPr="00B936A0">
              <w:rPr>
                <w:rStyle w:val="Collegamentoipertestuale"/>
              </w:rPr>
              <w:t>3.7.</w:t>
            </w:r>
            <w:r w:rsidR="00C5194E">
              <w:rPr>
                <w:rFonts w:asciiTheme="minorHAnsi" w:eastAsiaTheme="minorEastAsia" w:hAnsiTheme="minorHAnsi" w:cstheme="minorBidi"/>
                <w:b w:val="0"/>
                <w:bCs w:val="0"/>
                <w:smallCaps w:val="0"/>
                <w:noProof/>
                <w:color w:val="auto"/>
              </w:rPr>
              <w:tab/>
            </w:r>
            <w:r w:rsidR="00C5194E" w:rsidRPr="00B936A0">
              <w:rPr>
                <w:rStyle w:val="Collegamentoipertestuale"/>
              </w:rPr>
              <w:t>Eventuale mancata presentazione dell’offerta</w:t>
            </w:r>
            <w:r w:rsidR="00C5194E">
              <w:rPr>
                <w:noProof/>
                <w:webHidden/>
              </w:rPr>
              <w:tab/>
            </w:r>
            <w:r w:rsidR="00C5194E">
              <w:rPr>
                <w:noProof/>
                <w:webHidden/>
              </w:rPr>
              <w:fldChar w:fldCharType="begin"/>
            </w:r>
            <w:r w:rsidR="00C5194E">
              <w:rPr>
                <w:noProof/>
                <w:webHidden/>
              </w:rPr>
              <w:instrText xml:space="preserve"> PAGEREF _Toc99718070 \h </w:instrText>
            </w:r>
            <w:r w:rsidR="00C5194E">
              <w:rPr>
                <w:noProof/>
                <w:webHidden/>
              </w:rPr>
            </w:r>
            <w:r w:rsidR="00C5194E">
              <w:rPr>
                <w:noProof/>
                <w:webHidden/>
              </w:rPr>
              <w:fldChar w:fldCharType="separate"/>
            </w:r>
            <w:r w:rsidR="00C5194E">
              <w:rPr>
                <w:noProof/>
                <w:webHidden/>
              </w:rPr>
              <w:t>12</w:t>
            </w:r>
            <w:r w:rsidR="00C5194E">
              <w:rPr>
                <w:noProof/>
                <w:webHidden/>
              </w:rPr>
              <w:fldChar w:fldCharType="end"/>
            </w:r>
          </w:hyperlink>
        </w:p>
        <w:p w14:paraId="54E2BFE1" w14:textId="0262AD60" w:rsidR="00C5194E" w:rsidRDefault="008A1024">
          <w:pPr>
            <w:pStyle w:val="Sommario1"/>
            <w:tabs>
              <w:tab w:val="left" w:pos="567"/>
            </w:tabs>
            <w:rPr>
              <w:rFonts w:asciiTheme="minorHAnsi" w:eastAsiaTheme="minorEastAsia" w:hAnsiTheme="minorHAnsi" w:cstheme="minorBidi"/>
              <w:b w:val="0"/>
              <w:bCs w:val="0"/>
              <w:caps w:val="0"/>
              <w:noProof/>
              <w:color w:val="auto"/>
              <w:sz w:val="22"/>
            </w:rPr>
          </w:pPr>
          <w:hyperlink w:anchor="_Toc99718071" w:history="1">
            <w:r w:rsidR="00C5194E" w:rsidRPr="00B936A0">
              <w:rPr>
                <w:rStyle w:val="Collegamentoipertestuale"/>
              </w:rPr>
              <w:t>4.</w:t>
            </w:r>
            <w:r w:rsidR="00C5194E">
              <w:rPr>
                <w:rFonts w:asciiTheme="minorHAnsi" w:eastAsiaTheme="minorEastAsia" w:hAnsiTheme="minorHAnsi" w:cstheme="minorBidi"/>
                <w:b w:val="0"/>
                <w:bCs w:val="0"/>
                <w:caps w:val="0"/>
                <w:noProof/>
                <w:color w:val="auto"/>
                <w:sz w:val="22"/>
              </w:rPr>
              <w:tab/>
            </w:r>
            <w:r w:rsidR="00C5194E" w:rsidRPr="00B936A0">
              <w:rPr>
                <w:rStyle w:val="Collegamentoipertestuale"/>
              </w:rPr>
              <w:t>Massimali e valori economici dell’Accordo Quadro e dei Contratti Esecutivi</w:t>
            </w:r>
            <w:r w:rsidR="00C5194E">
              <w:rPr>
                <w:noProof/>
                <w:webHidden/>
              </w:rPr>
              <w:tab/>
            </w:r>
            <w:r w:rsidR="00C5194E">
              <w:rPr>
                <w:noProof/>
                <w:webHidden/>
              </w:rPr>
              <w:fldChar w:fldCharType="begin"/>
            </w:r>
            <w:r w:rsidR="00C5194E">
              <w:rPr>
                <w:noProof/>
                <w:webHidden/>
              </w:rPr>
              <w:instrText xml:space="preserve"> PAGEREF _Toc99718071 \h </w:instrText>
            </w:r>
            <w:r w:rsidR="00C5194E">
              <w:rPr>
                <w:noProof/>
                <w:webHidden/>
              </w:rPr>
            </w:r>
            <w:r w:rsidR="00C5194E">
              <w:rPr>
                <w:noProof/>
                <w:webHidden/>
              </w:rPr>
              <w:fldChar w:fldCharType="separate"/>
            </w:r>
            <w:r w:rsidR="00C5194E">
              <w:rPr>
                <w:noProof/>
                <w:webHidden/>
              </w:rPr>
              <w:t>13</w:t>
            </w:r>
            <w:r w:rsidR="00C5194E">
              <w:rPr>
                <w:noProof/>
                <w:webHidden/>
              </w:rPr>
              <w:fldChar w:fldCharType="end"/>
            </w:r>
          </w:hyperlink>
        </w:p>
        <w:p w14:paraId="19E7EB24" w14:textId="49ADAC8A" w:rsidR="00C5194E" w:rsidRDefault="008A1024">
          <w:pPr>
            <w:pStyle w:val="Sommario1"/>
            <w:tabs>
              <w:tab w:val="left" w:pos="567"/>
            </w:tabs>
            <w:rPr>
              <w:rFonts w:asciiTheme="minorHAnsi" w:eastAsiaTheme="minorEastAsia" w:hAnsiTheme="minorHAnsi" w:cstheme="minorBidi"/>
              <w:b w:val="0"/>
              <w:bCs w:val="0"/>
              <w:caps w:val="0"/>
              <w:noProof/>
              <w:color w:val="auto"/>
              <w:sz w:val="22"/>
            </w:rPr>
          </w:pPr>
          <w:hyperlink w:anchor="_Toc99718072" w:history="1">
            <w:r w:rsidR="00C5194E" w:rsidRPr="00B936A0">
              <w:rPr>
                <w:rStyle w:val="Collegamentoipertestuale"/>
              </w:rPr>
              <w:t>5.</w:t>
            </w:r>
            <w:r w:rsidR="00C5194E">
              <w:rPr>
                <w:rFonts w:asciiTheme="minorHAnsi" w:eastAsiaTheme="minorEastAsia" w:hAnsiTheme="minorHAnsi" w:cstheme="minorBidi"/>
                <w:b w:val="0"/>
                <w:bCs w:val="0"/>
                <w:caps w:val="0"/>
                <w:noProof/>
                <w:color w:val="auto"/>
                <w:sz w:val="22"/>
              </w:rPr>
              <w:tab/>
            </w:r>
            <w:r w:rsidR="00C5194E" w:rsidRPr="00B936A0">
              <w:rPr>
                <w:rStyle w:val="Collegamentoipertestuale"/>
              </w:rPr>
              <w:t>Servizi oggetto dell’Accordo Quadro</w:t>
            </w:r>
            <w:r w:rsidR="00C5194E">
              <w:rPr>
                <w:noProof/>
                <w:webHidden/>
              </w:rPr>
              <w:tab/>
            </w:r>
            <w:r w:rsidR="00C5194E">
              <w:rPr>
                <w:noProof/>
                <w:webHidden/>
              </w:rPr>
              <w:fldChar w:fldCharType="begin"/>
            </w:r>
            <w:r w:rsidR="00C5194E">
              <w:rPr>
                <w:noProof/>
                <w:webHidden/>
              </w:rPr>
              <w:instrText xml:space="preserve"> PAGEREF _Toc99718072 \h </w:instrText>
            </w:r>
            <w:r w:rsidR="00C5194E">
              <w:rPr>
                <w:noProof/>
                <w:webHidden/>
              </w:rPr>
            </w:r>
            <w:r w:rsidR="00C5194E">
              <w:rPr>
                <w:noProof/>
                <w:webHidden/>
              </w:rPr>
              <w:fldChar w:fldCharType="separate"/>
            </w:r>
            <w:r w:rsidR="00C5194E">
              <w:rPr>
                <w:noProof/>
                <w:webHidden/>
              </w:rPr>
              <w:t>13</w:t>
            </w:r>
            <w:r w:rsidR="00C5194E">
              <w:rPr>
                <w:noProof/>
                <w:webHidden/>
              </w:rPr>
              <w:fldChar w:fldCharType="end"/>
            </w:r>
          </w:hyperlink>
        </w:p>
        <w:p w14:paraId="713473BB" w14:textId="6FB60CC0" w:rsidR="00C5194E" w:rsidRDefault="008A1024">
          <w:pPr>
            <w:pStyle w:val="Sommario1"/>
            <w:tabs>
              <w:tab w:val="left" w:pos="567"/>
            </w:tabs>
            <w:rPr>
              <w:rFonts w:asciiTheme="minorHAnsi" w:eastAsiaTheme="minorEastAsia" w:hAnsiTheme="minorHAnsi" w:cstheme="minorBidi"/>
              <w:b w:val="0"/>
              <w:bCs w:val="0"/>
              <w:caps w:val="0"/>
              <w:noProof/>
              <w:color w:val="auto"/>
              <w:sz w:val="22"/>
            </w:rPr>
          </w:pPr>
          <w:hyperlink w:anchor="_Toc99718073" w:history="1">
            <w:r w:rsidR="00C5194E" w:rsidRPr="00B936A0">
              <w:rPr>
                <w:rStyle w:val="Collegamentoipertestuale"/>
              </w:rPr>
              <w:t>6.</w:t>
            </w:r>
            <w:r w:rsidR="00C5194E">
              <w:rPr>
                <w:rFonts w:asciiTheme="minorHAnsi" w:eastAsiaTheme="minorEastAsia" w:hAnsiTheme="minorHAnsi" w:cstheme="minorBidi"/>
                <w:b w:val="0"/>
                <w:bCs w:val="0"/>
                <w:caps w:val="0"/>
                <w:noProof/>
                <w:color w:val="auto"/>
                <w:sz w:val="22"/>
              </w:rPr>
              <w:tab/>
            </w:r>
            <w:r w:rsidR="00C5194E" w:rsidRPr="00B936A0">
              <w:rPr>
                <w:rStyle w:val="Collegamentoipertestuale"/>
              </w:rPr>
              <w:t>Modalità di fornitura</w:t>
            </w:r>
            <w:r w:rsidR="00C5194E">
              <w:rPr>
                <w:noProof/>
                <w:webHidden/>
              </w:rPr>
              <w:tab/>
            </w:r>
            <w:r w:rsidR="00C5194E">
              <w:rPr>
                <w:noProof/>
                <w:webHidden/>
              </w:rPr>
              <w:fldChar w:fldCharType="begin"/>
            </w:r>
            <w:r w:rsidR="00C5194E">
              <w:rPr>
                <w:noProof/>
                <w:webHidden/>
              </w:rPr>
              <w:instrText xml:space="preserve"> PAGEREF _Toc99718073 \h </w:instrText>
            </w:r>
            <w:r w:rsidR="00C5194E">
              <w:rPr>
                <w:noProof/>
                <w:webHidden/>
              </w:rPr>
            </w:r>
            <w:r w:rsidR="00C5194E">
              <w:rPr>
                <w:noProof/>
                <w:webHidden/>
              </w:rPr>
              <w:fldChar w:fldCharType="separate"/>
            </w:r>
            <w:r w:rsidR="00C5194E">
              <w:rPr>
                <w:noProof/>
                <w:webHidden/>
              </w:rPr>
              <w:t>14</w:t>
            </w:r>
            <w:r w:rsidR="00C5194E">
              <w:rPr>
                <w:noProof/>
                <w:webHidden/>
              </w:rPr>
              <w:fldChar w:fldCharType="end"/>
            </w:r>
          </w:hyperlink>
        </w:p>
        <w:p w14:paraId="0448BADB" w14:textId="64DE80E2" w:rsidR="00C5194E" w:rsidRDefault="008A1024">
          <w:pPr>
            <w:pStyle w:val="Sommario1"/>
            <w:tabs>
              <w:tab w:val="left" w:pos="567"/>
            </w:tabs>
            <w:rPr>
              <w:rFonts w:asciiTheme="minorHAnsi" w:eastAsiaTheme="minorEastAsia" w:hAnsiTheme="minorHAnsi" w:cstheme="minorBidi"/>
              <w:b w:val="0"/>
              <w:bCs w:val="0"/>
              <w:caps w:val="0"/>
              <w:noProof/>
              <w:color w:val="auto"/>
              <w:sz w:val="22"/>
            </w:rPr>
          </w:pPr>
          <w:hyperlink w:anchor="_Toc99718074" w:history="1">
            <w:r w:rsidR="00C5194E" w:rsidRPr="00B936A0">
              <w:rPr>
                <w:rStyle w:val="Collegamentoipertestuale"/>
              </w:rPr>
              <w:t>7.</w:t>
            </w:r>
            <w:r w:rsidR="00C5194E">
              <w:rPr>
                <w:rFonts w:asciiTheme="minorHAnsi" w:eastAsiaTheme="minorEastAsia" w:hAnsiTheme="minorHAnsi" w:cstheme="minorBidi"/>
                <w:b w:val="0"/>
                <w:bCs w:val="0"/>
                <w:caps w:val="0"/>
                <w:noProof/>
                <w:color w:val="auto"/>
                <w:sz w:val="22"/>
              </w:rPr>
              <w:tab/>
            </w:r>
            <w:r w:rsidR="00C5194E" w:rsidRPr="00B936A0">
              <w:rPr>
                <w:rStyle w:val="Collegamentoipertestuale"/>
              </w:rPr>
              <w:t>Condizioni economiche</w:t>
            </w:r>
            <w:r w:rsidR="00C5194E">
              <w:rPr>
                <w:noProof/>
                <w:webHidden/>
              </w:rPr>
              <w:tab/>
            </w:r>
            <w:r w:rsidR="00C5194E">
              <w:rPr>
                <w:noProof/>
                <w:webHidden/>
              </w:rPr>
              <w:fldChar w:fldCharType="begin"/>
            </w:r>
            <w:r w:rsidR="00C5194E">
              <w:rPr>
                <w:noProof/>
                <w:webHidden/>
              </w:rPr>
              <w:instrText xml:space="preserve"> PAGEREF _Toc99718074 \h </w:instrText>
            </w:r>
            <w:r w:rsidR="00C5194E">
              <w:rPr>
                <w:noProof/>
                <w:webHidden/>
              </w:rPr>
            </w:r>
            <w:r w:rsidR="00C5194E">
              <w:rPr>
                <w:noProof/>
                <w:webHidden/>
              </w:rPr>
              <w:fldChar w:fldCharType="separate"/>
            </w:r>
            <w:r w:rsidR="00C5194E">
              <w:rPr>
                <w:noProof/>
                <w:webHidden/>
              </w:rPr>
              <w:t>14</w:t>
            </w:r>
            <w:r w:rsidR="00C5194E">
              <w:rPr>
                <w:noProof/>
                <w:webHidden/>
              </w:rPr>
              <w:fldChar w:fldCharType="end"/>
            </w:r>
          </w:hyperlink>
        </w:p>
        <w:p w14:paraId="75352904" w14:textId="6BFAD683" w:rsidR="00C5194E" w:rsidRDefault="008A1024">
          <w:pPr>
            <w:pStyle w:val="Sommario2"/>
            <w:tabs>
              <w:tab w:val="left" w:pos="1032"/>
            </w:tabs>
            <w:rPr>
              <w:rFonts w:asciiTheme="minorHAnsi" w:eastAsiaTheme="minorEastAsia" w:hAnsiTheme="minorHAnsi" w:cstheme="minorBidi"/>
              <w:b w:val="0"/>
              <w:bCs w:val="0"/>
              <w:smallCaps w:val="0"/>
              <w:noProof/>
              <w:color w:val="auto"/>
            </w:rPr>
          </w:pPr>
          <w:hyperlink w:anchor="_Toc99718075" w:history="1">
            <w:r w:rsidR="00C5194E" w:rsidRPr="00B936A0">
              <w:rPr>
                <w:rStyle w:val="Collegamentoipertestuale"/>
              </w:rPr>
              <w:t>7.1.</w:t>
            </w:r>
            <w:r w:rsidR="00C5194E">
              <w:rPr>
                <w:rFonts w:asciiTheme="minorHAnsi" w:eastAsiaTheme="minorEastAsia" w:hAnsiTheme="minorHAnsi" w:cstheme="minorBidi"/>
                <w:b w:val="0"/>
                <w:bCs w:val="0"/>
                <w:smallCaps w:val="0"/>
                <w:noProof/>
                <w:color w:val="auto"/>
              </w:rPr>
              <w:tab/>
            </w:r>
            <w:r w:rsidR="00C5194E" w:rsidRPr="00B936A0">
              <w:rPr>
                <w:rStyle w:val="Collegamentoipertestuale"/>
              </w:rPr>
              <w:t>Corrispettivi</w:t>
            </w:r>
            <w:r w:rsidR="00C5194E">
              <w:rPr>
                <w:noProof/>
                <w:webHidden/>
              </w:rPr>
              <w:tab/>
            </w:r>
            <w:r w:rsidR="00C5194E">
              <w:rPr>
                <w:noProof/>
                <w:webHidden/>
              </w:rPr>
              <w:fldChar w:fldCharType="begin"/>
            </w:r>
            <w:r w:rsidR="00C5194E">
              <w:rPr>
                <w:noProof/>
                <w:webHidden/>
              </w:rPr>
              <w:instrText xml:space="preserve"> PAGEREF _Toc99718075 \h </w:instrText>
            </w:r>
            <w:r w:rsidR="00C5194E">
              <w:rPr>
                <w:noProof/>
                <w:webHidden/>
              </w:rPr>
            </w:r>
            <w:r w:rsidR="00C5194E">
              <w:rPr>
                <w:noProof/>
                <w:webHidden/>
              </w:rPr>
              <w:fldChar w:fldCharType="separate"/>
            </w:r>
            <w:r w:rsidR="00C5194E">
              <w:rPr>
                <w:noProof/>
                <w:webHidden/>
              </w:rPr>
              <w:t>14</w:t>
            </w:r>
            <w:r w:rsidR="00C5194E">
              <w:rPr>
                <w:noProof/>
                <w:webHidden/>
              </w:rPr>
              <w:fldChar w:fldCharType="end"/>
            </w:r>
          </w:hyperlink>
        </w:p>
        <w:p w14:paraId="137366E8" w14:textId="39E35054" w:rsidR="00C5194E" w:rsidRDefault="008A1024">
          <w:pPr>
            <w:pStyle w:val="Sommario2"/>
            <w:tabs>
              <w:tab w:val="left" w:pos="1032"/>
            </w:tabs>
            <w:rPr>
              <w:rFonts w:asciiTheme="minorHAnsi" w:eastAsiaTheme="minorEastAsia" w:hAnsiTheme="minorHAnsi" w:cstheme="minorBidi"/>
              <w:b w:val="0"/>
              <w:bCs w:val="0"/>
              <w:smallCaps w:val="0"/>
              <w:noProof/>
              <w:color w:val="auto"/>
            </w:rPr>
          </w:pPr>
          <w:hyperlink w:anchor="_Toc99718076" w:history="1">
            <w:r w:rsidR="00C5194E" w:rsidRPr="00B936A0">
              <w:rPr>
                <w:rStyle w:val="Collegamentoipertestuale"/>
              </w:rPr>
              <w:t>7.2.</w:t>
            </w:r>
            <w:r w:rsidR="00C5194E">
              <w:rPr>
                <w:rFonts w:asciiTheme="minorHAnsi" w:eastAsiaTheme="minorEastAsia" w:hAnsiTheme="minorHAnsi" w:cstheme="minorBidi"/>
                <w:b w:val="0"/>
                <w:bCs w:val="0"/>
                <w:smallCaps w:val="0"/>
                <w:noProof/>
                <w:color w:val="auto"/>
              </w:rPr>
              <w:tab/>
            </w:r>
            <w:r w:rsidR="00C5194E" w:rsidRPr="00B936A0">
              <w:rPr>
                <w:rStyle w:val="Collegamentoipertestuale"/>
              </w:rPr>
              <w:t>Procedura di applicazione delle penali</w:t>
            </w:r>
            <w:r w:rsidR="00C5194E">
              <w:rPr>
                <w:noProof/>
                <w:webHidden/>
              </w:rPr>
              <w:tab/>
            </w:r>
            <w:r w:rsidR="00C5194E">
              <w:rPr>
                <w:noProof/>
                <w:webHidden/>
              </w:rPr>
              <w:fldChar w:fldCharType="begin"/>
            </w:r>
            <w:r w:rsidR="00C5194E">
              <w:rPr>
                <w:noProof/>
                <w:webHidden/>
              </w:rPr>
              <w:instrText xml:space="preserve"> PAGEREF _Toc99718076 \h </w:instrText>
            </w:r>
            <w:r w:rsidR="00C5194E">
              <w:rPr>
                <w:noProof/>
                <w:webHidden/>
              </w:rPr>
            </w:r>
            <w:r w:rsidR="00C5194E">
              <w:rPr>
                <w:noProof/>
                <w:webHidden/>
              </w:rPr>
              <w:fldChar w:fldCharType="separate"/>
            </w:r>
            <w:r w:rsidR="00C5194E">
              <w:rPr>
                <w:noProof/>
                <w:webHidden/>
              </w:rPr>
              <w:t>14</w:t>
            </w:r>
            <w:r w:rsidR="00C5194E">
              <w:rPr>
                <w:noProof/>
                <w:webHidden/>
              </w:rPr>
              <w:fldChar w:fldCharType="end"/>
            </w:r>
          </w:hyperlink>
        </w:p>
        <w:p w14:paraId="4D3F8DD9" w14:textId="1CE48306" w:rsidR="00C5194E" w:rsidRDefault="008A1024">
          <w:pPr>
            <w:pStyle w:val="Sommario3"/>
            <w:tabs>
              <w:tab w:val="left" w:pos="1579"/>
            </w:tabs>
            <w:rPr>
              <w:rFonts w:asciiTheme="minorHAnsi" w:eastAsiaTheme="minorEastAsia" w:hAnsiTheme="minorHAnsi" w:cstheme="minorBidi"/>
              <w:b w:val="0"/>
              <w:smallCaps w:val="0"/>
              <w:noProof/>
              <w:color w:val="auto"/>
            </w:rPr>
          </w:pPr>
          <w:hyperlink w:anchor="_Toc99718077" w:history="1">
            <w:r w:rsidR="00C5194E" w:rsidRPr="00B936A0">
              <w:rPr>
                <w:rStyle w:val="Collegamentoipertestuale"/>
                <w:bCs/>
              </w:rPr>
              <w:t>7.2.1.</w:t>
            </w:r>
            <w:r w:rsidR="00C5194E">
              <w:rPr>
                <w:rFonts w:asciiTheme="minorHAnsi" w:eastAsiaTheme="minorEastAsia" w:hAnsiTheme="minorHAnsi" w:cstheme="minorBidi"/>
                <w:b w:val="0"/>
                <w:smallCaps w:val="0"/>
                <w:noProof/>
                <w:color w:val="auto"/>
              </w:rPr>
              <w:tab/>
            </w:r>
            <w:r w:rsidR="00C5194E" w:rsidRPr="00B936A0">
              <w:rPr>
                <w:rStyle w:val="Collegamentoipertestuale"/>
                <w:bCs/>
              </w:rPr>
              <w:t>Rilevamento del presunto inadempimento compiuto dal Fornitore</w:t>
            </w:r>
            <w:r w:rsidR="00C5194E">
              <w:rPr>
                <w:noProof/>
                <w:webHidden/>
              </w:rPr>
              <w:tab/>
            </w:r>
            <w:r w:rsidR="00C5194E">
              <w:rPr>
                <w:noProof/>
                <w:webHidden/>
              </w:rPr>
              <w:fldChar w:fldCharType="begin"/>
            </w:r>
            <w:r w:rsidR="00C5194E">
              <w:rPr>
                <w:noProof/>
                <w:webHidden/>
              </w:rPr>
              <w:instrText xml:space="preserve"> PAGEREF _Toc99718077 \h </w:instrText>
            </w:r>
            <w:r w:rsidR="00C5194E">
              <w:rPr>
                <w:noProof/>
                <w:webHidden/>
              </w:rPr>
            </w:r>
            <w:r w:rsidR="00C5194E">
              <w:rPr>
                <w:noProof/>
                <w:webHidden/>
              </w:rPr>
              <w:fldChar w:fldCharType="separate"/>
            </w:r>
            <w:r w:rsidR="00C5194E">
              <w:rPr>
                <w:noProof/>
                <w:webHidden/>
              </w:rPr>
              <w:t>14</w:t>
            </w:r>
            <w:r w:rsidR="00C5194E">
              <w:rPr>
                <w:noProof/>
                <w:webHidden/>
              </w:rPr>
              <w:fldChar w:fldCharType="end"/>
            </w:r>
          </w:hyperlink>
        </w:p>
        <w:p w14:paraId="1A31A72F" w14:textId="06F4EA21" w:rsidR="00C5194E" w:rsidRDefault="008A1024">
          <w:pPr>
            <w:pStyle w:val="Sommario3"/>
            <w:tabs>
              <w:tab w:val="left" w:pos="1579"/>
            </w:tabs>
            <w:rPr>
              <w:rFonts w:asciiTheme="minorHAnsi" w:eastAsiaTheme="minorEastAsia" w:hAnsiTheme="minorHAnsi" w:cstheme="minorBidi"/>
              <w:b w:val="0"/>
              <w:smallCaps w:val="0"/>
              <w:noProof/>
              <w:color w:val="auto"/>
            </w:rPr>
          </w:pPr>
          <w:hyperlink w:anchor="_Toc99718078" w:history="1">
            <w:r w:rsidR="00C5194E" w:rsidRPr="00B936A0">
              <w:rPr>
                <w:rStyle w:val="Collegamentoipertestuale"/>
                <w:bCs/>
              </w:rPr>
              <w:t>7.2.2.</w:t>
            </w:r>
            <w:r w:rsidR="00C5194E">
              <w:rPr>
                <w:rFonts w:asciiTheme="minorHAnsi" w:eastAsiaTheme="minorEastAsia" w:hAnsiTheme="minorHAnsi" w:cstheme="minorBidi"/>
                <w:b w:val="0"/>
                <w:smallCaps w:val="0"/>
                <w:noProof/>
                <w:color w:val="auto"/>
              </w:rPr>
              <w:tab/>
            </w:r>
            <w:r w:rsidR="00C5194E" w:rsidRPr="00B936A0">
              <w:rPr>
                <w:rStyle w:val="Collegamentoipertestuale"/>
                <w:bCs/>
              </w:rPr>
              <w:t>Contestazione al Fornitore</w:t>
            </w:r>
            <w:r w:rsidR="00C5194E">
              <w:rPr>
                <w:noProof/>
                <w:webHidden/>
              </w:rPr>
              <w:tab/>
            </w:r>
            <w:r w:rsidR="00C5194E">
              <w:rPr>
                <w:noProof/>
                <w:webHidden/>
              </w:rPr>
              <w:fldChar w:fldCharType="begin"/>
            </w:r>
            <w:r w:rsidR="00C5194E">
              <w:rPr>
                <w:noProof/>
                <w:webHidden/>
              </w:rPr>
              <w:instrText xml:space="preserve"> PAGEREF _Toc99718078 \h </w:instrText>
            </w:r>
            <w:r w:rsidR="00C5194E">
              <w:rPr>
                <w:noProof/>
                <w:webHidden/>
              </w:rPr>
            </w:r>
            <w:r w:rsidR="00C5194E">
              <w:rPr>
                <w:noProof/>
                <w:webHidden/>
              </w:rPr>
              <w:fldChar w:fldCharType="separate"/>
            </w:r>
            <w:r w:rsidR="00C5194E">
              <w:rPr>
                <w:noProof/>
                <w:webHidden/>
              </w:rPr>
              <w:t>14</w:t>
            </w:r>
            <w:r w:rsidR="00C5194E">
              <w:rPr>
                <w:noProof/>
                <w:webHidden/>
              </w:rPr>
              <w:fldChar w:fldCharType="end"/>
            </w:r>
          </w:hyperlink>
        </w:p>
        <w:p w14:paraId="7DE77862" w14:textId="06D82977" w:rsidR="00C5194E" w:rsidRDefault="008A1024">
          <w:pPr>
            <w:pStyle w:val="Sommario3"/>
            <w:tabs>
              <w:tab w:val="left" w:pos="1579"/>
            </w:tabs>
            <w:rPr>
              <w:rFonts w:asciiTheme="minorHAnsi" w:eastAsiaTheme="minorEastAsia" w:hAnsiTheme="minorHAnsi" w:cstheme="minorBidi"/>
              <w:b w:val="0"/>
              <w:smallCaps w:val="0"/>
              <w:noProof/>
              <w:color w:val="auto"/>
            </w:rPr>
          </w:pPr>
          <w:hyperlink w:anchor="_Toc99718079" w:history="1">
            <w:r w:rsidR="00C5194E" w:rsidRPr="00B936A0">
              <w:rPr>
                <w:rStyle w:val="Collegamentoipertestuale"/>
                <w:bCs/>
              </w:rPr>
              <w:t>7.2.3.</w:t>
            </w:r>
            <w:r w:rsidR="00C5194E">
              <w:rPr>
                <w:rFonts w:asciiTheme="minorHAnsi" w:eastAsiaTheme="minorEastAsia" w:hAnsiTheme="minorHAnsi" w:cstheme="minorBidi"/>
                <w:b w:val="0"/>
                <w:smallCaps w:val="0"/>
                <w:noProof/>
                <w:color w:val="auto"/>
              </w:rPr>
              <w:tab/>
            </w:r>
            <w:r w:rsidR="00C5194E" w:rsidRPr="00B936A0">
              <w:rPr>
                <w:rStyle w:val="Collegamentoipertestuale"/>
                <w:bCs/>
              </w:rPr>
              <w:t>Controdeduzioni del Fornitore</w:t>
            </w:r>
            <w:r w:rsidR="00C5194E">
              <w:rPr>
                <w:noProof/>
                <w:webHidden/>
              </w:rPr>
              <w:tab/>
            </w:r>
            <w:r w:rsidR="00C5194E">
              <w:rPr>
                <w:noProof/>
                <w:webHidden/>
              </w:rPr>
              <w:fldChar w:fldCharType="begin"/>
            </w:r>
            <w:r w:rsidR="00C5194E">
              <w:rPr>
                <w:noProof/>
                <w:webHidden/>
              </w:rPr>
              <w:instrText xml:space="preserve"> PAGEREF _Toc99718079 \h </w:instrText>
            </w:r>
            <w:r w:rsidR="00C5194E">
              <w:rPr>
                <w:noProof/>
                <w:webHidden/>
              </w:rPr>
            </w:r>
            <w:r w:rsidR="00C5194E">
              <w:rPr>
                <w:noProof/>
                <w:webHidden/>
              </w:rPr>
              <w:fldChar w:fldCharType="separate"/>
            </w:r>
            <w:r w:rsidR="00C5194E">
              <w:rPr>
                <w:noProof/>
                <w:webHidden/>
              </w:rPr>
              <w:t>15</w:t>
            </w:r>
            <w:r w:rsidR="00C5194E">
              <w:rPr>
                <w:noProof/>
                <w:webHidden/>
              </w:rPr>
              <w:fldChar w:fldCharType="end"/>
            </w:r>
          </w:hyperlink>
        </w:p>
        <w:p w14:paraId="34023E4A" w14:textId="66FD79E1" w:rsidR="00C5194E" w:rsidRDefault="008A1024">
          <w:pPr>
            <w:pStyle w:val="Sommario3"/>
            <w:tabs>
              <w:tab w:val="left" w:pos="1579"/>
            </w:tabs>
            <w:rPr>
              <w:rFonts w:asciiTheme="minorHAnsi" w:eastAsiaTheme="minorEastAsia" w:hAnsiTheme="minorHAnsi" w:cstheme="minorBidi"/>
              <w:b w:val="0"/>
              <w:smallCaps w:val="0"/>
              <w:noProof/>
              <w:color w:val="auto"/>
            </w:rPr>
          </w:pPr>
          <w:hyperlink w:anchor="_Toc99718080" w:history="1">
            <w:r w:rsidR="00C5194E" w:rsidRPr="00B936A0">
              <w:rPr>
                <w:rStyle w:val="Collegamentoipertestuale"/>
                <w:bCs/>
              </w:rPr>
              <w:t>7.2.4.</w:t>
            </w:r>
            <w:r w:rsidR="00C5194E">
              <w:rPr>
                <w:rFonts w:asciiTheme="minorHAnsi" w:eastAsiaTheme="minorEastAsia" w:hAnsiTheme="minorHAnsi" w:cstheme="minorBidi"/>
                <w:b w:val="0"/>
                <w:smallCaps w:val="0"/>
                <w:noProof/>
                <w:color w:val="auto"/>
              </w:rPr>
              <w:tab/>
            </w:r>
            <w:r w:rsidR="00C5194E" w:rsidRPr="00B936A0">
              <w:rPr>
                <w:rStyle w:val="Collegamentoipertestuale"/>
                <w:bCs/>
              </w:rPr>
              <w:t>Accertamento della sussistenza/insussistenza delle condizioni di applicazione delle penali e quantificazione delle stesse</w:t>
            </w:r>
            <w:r w:rsidR="00C5194E">
              <w:rPr>
                <w:noProof/>
                <w:webHidden/>
              </w:rPr>
              <w:tab/>
            </w:r>
            <w:r w:rsidR="00C5194E">
              <w:rPr>
                <w:noProof/>
                <w:webHidden/>
              </w:rPr>
              <w:fldChar w:fldCharType="begin"/>
            </w:r>
            <w:r w:rsidR="00C5194E">
              <w:rPr>
                <w:noProof/>
                <w:webHidden/>
              </w:rPr>
              <w:instrText xml:space="preserve"> PAGEREF _Toc99718080 \h </w:instrText>
            </w:r>
            <w:r w:rsidR="00C5194E">
              <w:rPr>
                <w:noProof/>
                <w:webHidden/>
              </w:rPr>
            </w:r>
            <w:r w:rsidR="00C5194E">
              <w:rPr>
                <w:noProof/>
                <w:webHidden/>
              </w:rPr>
              <w:fldChar w:fldCharType="separate"/>
            </w:r>
            <w:r w:rsidR="00C5194E">
              <w:rPr>
                <w:noProof/>
                <w:webHidden/>
              </w:rPr>
              <w:t>15</w:t>
            </w:r>
            <w:r w:rsidR="00C5194E">
              <w:rPr>
                <w:noProof/>
                <w:webHidden/>
              </w:rPr>
              <w:fldChar w:fldCharType="end"/>
            </w:r>
          </w:hyperlink>
        </w:p>
        <w:p w14:paraId="551C6BEE" w14:textId="6069DEA9" w:rsidR="00C5194E" w:rsidRDefault="008A1024">
          <w:pPr>
            <w:pStyle w:val="Sommario3"/>
            <w:tabs>
              <w:tab w:val="left" w:pos="1579"/>
            </w:tabs>
            <w:rPr>
              <w:rFonts w:asciiTheme="minorHAnsi" w:eastAsiaTheme="minorEastAsia" w:hAnsiTheme="minorHAnsi" w:cstheme="minorBidi"/>
              <w:b w:val="0"/>
              <w:smallCaps w:val="0"/>
              <w:noProof/>
              <w:color w:val="auto"/>
            </w:rPr>
          </w:pPr>
          <w:hyperlink w:anchor="_Toc99718081" w:history="1">
            <w:r w:rsidR="00C5194E" w:rsidRPr="00B936A0">
              <w:rPr>
                <w:rStyle w:val="Collegamentoipertestuale"/>
              </w:rPr>
              <w:t>7.2.5.</w:t>
            </w:r>
            <w:r w:rsidR="00C5194E">
              <w:rPr>
                <w:rFonts w:asciiTheme="minorHAnsi" w:eastAsiaTheme="minorEastAsia" w:hAnsiTheme="minorHAnsi" w:cstheme="minorBidi"/>
                <w:b w:val="0"/>
                <w:smallCaps w:val="0"/>
                <w:noProof/>
                <w:color w:val="auto"/>
              </w:rPr>
              <w:tab/>
            </w:r>
            <w:r w:rsidR="00C5194E" w:rsidRPr="00B936A0">
              <w:rPr>
                <w:rStyle w:val="Collegamentoipertestuale"/>
              </w:rPr>
              <w:t>Ulteriori tutele</w:t>
            </w:r>
            <w:r w:rsidR="00C5194E">
              <w:rPr>
                <w:noProof/>
                <w:webHidden/>
              </w:rPr>
              <w:tab/>
            </w:r>
            <w:r w:rsidR="00C5194E">
              <w:rPr>
                <w:noProof/>
                <w:webHidden/>
              </w:rPr>
              <w:fldChar w:fldCharType="begin"/>
            </w:r>
            <w:r w:rsidR="00C5194E">
              <w:rPr>
                <w:noProof/>
                <w:webHidden/>
              </w:rPr>
              <w:instrText xml:space="preserve"> PAGEREF _Toc99718081 \h </w:instrText>
            </w:r>
            <w:r w:rsidR="00C5194E">
              <w:rPr>
                <w:noProof/>
                <w:webHidden/>
              </w:rPr>
            </w:r>
            <w:r w:rsidR="00C5194E">
              <w:rPr>
                <w:noProof/>
                <w:webHidden/>
              </w:rPr>
              <w:fldChar w:fldCharType="separate"/>
            </w:r>
            <w:r w:rsidR="00C5194E">
              <w:rPr>
                <w:noProof/>
                <w:webHidden/>
              </w:rPr>
              <w:t>15</w:t>
            </w:r>
            <w:r w:rsidR="00C5194E">
              <w:rPr>
                <w:noProof/>
                <w:webHidden/>
              </w:rPr>
              <w:fldChar w:fldCharType="end"/>
            </w:r>
          </w:hyperlink>
        </w:p>
        <w:p w14:paraId="3E657B81" w14:textId="5A1BEF66" w:rsidR="00C5194E" w:rsidRDefault="008A1024">
          <w:pPr>
            <w:pStyle w:val="Sommario1"/>
            <w:tabs>
              <w:tab w:val="left" w:pos="567"/>
            </w:tabs>
            <w:rPr>
              <w:rFonts w:asciiTheme="minorHAnsi" w:eastAsiaTheme="minorEastAsia" w:hAnsiTheme="minorHAnsi" w:cstheme="minorBidi"/>
              <w:b w:val="0"/>
              <w:bCs w:val="0"/>
              <w:caps w:val="0"/>
              <w:noProof/>
              <w:color w:val="auto"/>
              <w:sz w:val="22"/>
            </w:rPr>
          </w:pPr>
          <w:hyperlink w:anchor="_Toc99718082" w:history="1">
            <w:r w:rsidR="00C5194E" w:rsidRPr="00B936A0">
              <w:rPr>
                <w:rStyle w:val="Collegamentoipertestuale"/>
              </w:rPr>
              <w:t>8.</w:t>
            </w:r>
            <w:r w:rsidR="00C5194E">
              <w:rPr>
                <w:rFonts w:asciiTheme="minorHAnsi" w:eastAsiaTheme="minorEastAsia" w:hAnsiTheme="minorHAnsi" w:cstheme="minorBidi"/>
                <w:b w:val="0"/>
                <w:bCs w:val="0"/>
                <w:caps w:val="0"/>
                <w:noProof/>
                <w:color w:val="auto"/>
                <w:sz w:val="22"/>
              </w:rPr>
              <w:tab/>
            </w:r>
            <w:r w:rsidR="00C5194E" w:rsidRPr="00B936A0">
              <w:rPr>
                <w:rStyle w:val="Collegamentoipertestuale"/>
              </w:rPr>
              <w:t>Fatturazione e pagamenti</w:t>
            </w:r>
            <w:r w:rsidR="00C5194E">
              <w:rPr>
                <w:noProof/>
                <w:webHidden/>
              </w:rPr>
              <w:tab/>
            </w:r>
            <w:r w:rsidR="00C5194E">
              <w:rPr>
                <w:noProof/>
                <w:webHidden/>
              </w:rPr>
              <w:fldChar w:fldCharType="begin"/>
            </w:r>
            <w:r w:rsidR="00C5194E">
              <w:rPr>
                <w:noProof/>
                <w:webHidden/>
              </w:rPr>
              <w:instrText xml:space="preserve"> PAGEREF _Toc99718082 \h </w:instrText>
            </w:r>
            <w:r w:rsidR="00C5194E">
              <w:rPr>
                <w:noProof/>
                <w:webHidden/>
              </w:rPr>
            </w:r>
            <w:r w:rsidR="00C5194E">
              <w:rPr>
                <w:noProof/>
                <w:webHidden/>
              </w:rPr>
              <w:fldChar w:fldCharType="separate"/>
            </w:r>
            <w:r w:rsidR="00C5194E">
              <w:rPr>
                <w:noProof/>
                <w:webHidden/>
              </w:rPr>
              <w:t>16</w:t>
            </w:r>
            <w:r w:rsidR="00C5194E">
              <w:rPr>
                <w:noProof/>
                <w:webHidden/>
              </w:rPr>
              <w:fldChar w:fldCharType="end"/>
            </w:r>
          </w:hyperlink>
        </w:p>
        <w:p w14:paraId="563FC8DF" w14:textId="54FDB4C3" w:rsidR="00C5194E" w:rsidRDefault="008A1024">
          <w:pPr>
            <w:pStyle w:val="Sommario1"/>
            <w:tabs>
              <w:tab w:val="left" w:pos="567"/>
            </w:tabs>
            <w:rPr>
              <w:rFonts w:asciiTheme="minorHAnsi" w:eastAsiaTheme="minorEastAsia" w:hAnsiTheme="minorHAnsi" w:cstheme="minorBidi"/>
              <w:b w:val="0"/>
              <w:bCs w:val="0"/>
              <w:caps w:val="0"/>
              <w:noProof/>
              <w:color w:val="auto"/>
              <w:sz w:val="22"/>
            </w:rPr>
          </w:pPr>
          <w:hyperlink w:anchor="_Toc99718083" w:history="1">
            <w:r w:rsidR="00C5194E" w:rsidRPr="00B936A0">
              <w:rPr>
                <w:rStyle w:val="Collegamentoipertestuale"/>
              </w:rPr>
              <w:t>9.</w:t>
            </w:r>
            <w:r w:rsidR="00C5194E">
              <w:rPr>
                <w:rFonts w:asciiTheme="minorHAnsi" w:eastAsiaTheme="minorEastAsia" w:hAnsiTheme="minorHAnsi" w:cstheme="minorBidi"/>
                <w:b w:val="0"/>
                <w:bCs w:val="0"/>
                <w:caps w:val="0"/>
                <w:noProof/>
                <w:color w:val="auto"/>
                <w:sz w:val="22"/>
              </w:rPr>
              <w:tab/>
            </w:r>
            <w:r w:rsidR="00C5194E" w:rsidRPr="00B936A0">
              <w:rPr>
                <w:rStyle w:val="Collegamentoipertestuale"/>
              </w:rPr>
              <w:t>Subappalto</w:t>
            </w:r>
            <w:r w:rsidR="00C5194E">
              <w:rPr>
                <w:noProof/>
                <w:webHidden/>
              </w:rPr>
              <w:tab/>
            </w:r>
            <w:r w:rsidR="00C5194E">
              <w:rPr>
                <w:noProof/>
                <w:webHidden/>
              </w:rPr>
              <w:fldChar w:fldCharType="begin"/>
            </w:r>
            <w:r w:rsidR="00C5194E">
              <w:rPr>
                <w:noProof/>
                <w:webHidden/>
              </w:rPr>
              <w:instrText xml:space="preserve"> PAGEREF _Toc99718083 \h </w:instrText>
            </w:r>
            <w:r w:rsidR="00C5194E">
              <w:rPr>
                <w:noProof/>
                <w:webHidden/>
              </w:rPr>
            </w:r>
            <w:r w:rsidR="00C5194E">
              <w:rPr>
                <w:noProof/>
                <w:webHidden/>
              </w:rPr>
              <w:fldChar w:fldCharType="separate"/>
            </w:r>
            <w:r w:rsidR="00C5194E">
              <w:rPr>
                <w:noProof/>
                <w:webHidden/>
              </w:rPr>
              <w:t>17</w:t>
            </w:r>
            <w:r w:rsidR="00C5194E">
              <w:rPr>
                <w:noProof/>
                <w:webHidden/>
              </w:rPr>
              <w:fldChar w:fldCharType="end"/>
            </w:r>
          </w:hyperlink>
        </w:p>
        <w:p w14:paraId="6809F803" w14:textId="62899CCF" w:rsidR="00C5194E" w:rsidRDefault="008A1024">
          <w:pPr>
            <w:pStyle w:val="Sommario1"/>
            <w:tabs>
              <w:tab w:val="left" w:pos="652"/>
            </w:tabs>
            <w:rPr>
              <w:rFonts w:asciiTheme="minorHAnsi" w:eastAsiaTheme="minorEastAsia" w:hAnsiTheme="minorHAnsi" w:cstheme="minorBidi"/>
              <w:b w:val="0"/>
              <w:bCs w:val="0"/>
              <w:caps w:val="0"/>
              <w:noProof/>
              <w:color w:val="auto"/>
              <w:sz w:val="22"/>
            </w:rPr>
          </w:pPr>
          <w:hyperlink w:anchor="_Toc99718084" w:history="1">
            <w:r w:rsidR="00C5194E" w:rsidRPr="00B936A0">
              <w:rPr>
                <w:rStyle w:val="Collegamentoipertestuale"/>
              </w:rPr>
              <w:t>10.</w:t>
            </w:r>
            <w:r w:rsidR="00C5194E">
              <w:rPr>
                <w:rFonts w:asciiTheme="minorHAnsi" w:eastAsiaTheme="minorEastAsia" w:hAnsiTheme="minorHAnsi" w:cstheme="minorBidi"/>
                <w:b w:val="0"/>
                <w:bCs w:val="0"/>
                <w:caps w:val="0"/>
                <w:noProof/>
                <w:color w:val="auto"/>
                <w:sz w:val="22"/>
              </w:rPr>
              <w:tab/>
            </w:r>
            <w:r w:rsidR="00C5194E" w:rsidRPr="00B936A0">
              <w:rPr>
                <w:rStyle w:val="Collegamentoipertestuale"/>
              </w:rPr>
              <w:t>Esecuzione Contratto Esecutivo</w:t>
            </w:r>
            <w:r w:rsidR="00C5194E">
              <w:rPr>
                <w:noProof/>
                <w:webHidden/>
              </w:rPr>
              <w:tab/>
            </w:r>
            <w:r w:rsidR="00C5194E">
              <w:rPr>
                <w:noProof/>
                <w:webHidden/>
              </w:rPr>
              <w:fldChar w:fldCharType="begin"/>
            </w:r>
            <w:r w:rsidR="00C5194E">
              <w:rPr>
                <w:noProof/>
                <w:webHidden/>
              </w:rPr>
              <w:instrText xml:space="preserve"> PAGEREF _Toc99718084 \h </w:instrText>
            </w:r>
            <w:r w:rsidR="00C5194E">
              <w:rPr>
                <w:noProof/>
                <w:webHidden/>
              </w:rPr>
            </w:r>
            <w:r w:rsidR="00C5194E">
              <w:rPr>
                <w:noProof/>
                <w:webHidden/>
              </w:rPr>
              <w:fldChar w:fldCharType="separate"/>
            </w:r>
            <w:r w:rsidR="00C5194E">
              <w:rPr>
                <w:noProof/>
                <w:webHidden/>
              </w:rPr>
              <w:t>17</w:t>
            </w:r>
            <w:r w:rsidR="00C5194E">
              <w:rPr>
                <w:noProof/>
                <w:webHidden/>
              </w:rPr>
              <w:fldChar w:fldCharType="end"/>
            </w:r>
          </w:hyperlink>
        </w:p>
        <w:p w14:paraId="2F8428C0" w14:textId="10D6CFD6" w:rsidR="004D00C0" w:rsidRPr="00281C64" w:rsidRDefault="00B91954" w:rsidP="00621640">
          <w:r w:rsidRPr="00281C64">
            <w:fldChar w:fldCharType="end"/>
          </w:r>
        </w:p>
      </w:sdtContent>
    </w:sdt>
    <w:p w14:paraId="50A2CEF6" w14:textId="77777777" w:rsidR="00477F23" w:rsidRPr="00281C64" w:rsidRDefault="004D00C0" w:rsidP="00F27A47">
      <w:pPr>
        <w:keepNext/>
        <w:keepLines/>
        <w:numPr>
          <w:ilvl w:val="0"/>
          <w:numId w:val="2"/>
        </w:numPr>
        <w:tabs>
          <w:tab w:val="left" w:pos="709"/>
        </w:tabs>
        <w:spacing w:before="480" w:after="0"/>
        <w:ind w:left="993" w:hanging="993"/>
        <w:outlineLvl w:val="0"/>
        <w:rPr>
          <w:rFonts w:ascii="Titillium Web" w:hAnsi="Titillium Web"/>
          <w:b/>
          <w:bCs/>
          <w:color w:val="821B4C"/>
          <w:sz w:val="40"/>
          <w:szCs w:val="28"/>
        </w:rPr>
      </w:pPr>
      <w:r w:rsidRPr="00281C64">
        <w:br w:type="page"/>
      </w:r>
      <w:bookmarkStart w:id="0" w:name="_Toc509327564"/>
      <w:bookmarkStart w:id="1" w:name="_Toc78442870"/>
      <w:bookmarkStart w:id="2" w:name="_Toc99718061"/>
      <w:r w:rsidR="00477F23" w:rsidRPr="00281C64">
        <w:rPr>
          <w:rFonts w:ascii="Titillium Web" w:hAnsi="Titillium Web"/>
          <w:b/>
          <w:bCs/>
          <w:color w:val="821B4C"/>
          <w:sz w:val="40"/>
          <w:szCs w:val="28"/>
        </w:rPr>
        <w:lastRenderedPageBreak/>
        <w:t>Premessa</w:t>
      </w:r>
      <w:bookmarkEnd w:id="0"/>
      <w:bookmarkEnd w:id="1"/>
      <w:bookmarkEnd w:id="2"/>
    </w:p>
    <w:p w14:paraId="10EA8198" w14:textId="77777777" w:rsidR="00477F23" w:rsidRPr="00281C64" w:rsidRDefault="00477F23" w:rsidP="00477F23">
      <w:pPr>
        <w:rPr>
          <w:b/>
        </w:rPr>
      </w:pPr>
      <w:r w:rsidRPr="00281C64">
        <w:rPr>
          <w:b/>
        </w:rPr>
        <w:t>La presente guida non intende sostituire né integrare la documentazione contrattuale sottoscritta fra le parti. Pertanto, le informazioni in essa contenute non possono costituire motivo di rivalsa da parte delle Amministrazioni contraenti nei confronti del Fornitore e/o di Consip né possono ritenersi prevalenti rispetto alla documentazione contrattuale.</w:t>
      </w:r>
    </w:p>
    <w:p w14:paraId="30EFD979" w14:textId="1BCA88BB" w:rsidR="0042311A" w:rsidRPr="00281C64" w:rsidRDefault="00477F23" w:rsidP="0042311A">
      <w:pPr>
        <w:spacing w:after="0"/>
      </w:pPr>
      <w:r w:rsidRPr="00281C64">
        <w:t xml:space="preserve">La presente guida ha l’obiettivo di illustrare le modalità operative per la gestione della fase esecutiva dell’Accordo quadro </w:t>
      </w:r>
      <w:r w:rsidR="005E2818" w:rsidRPr="00281C64">
        <w:rPr>
          <w:b/>
        </w:rPr>
        <w:t xml:space="preserve">Public Cloud </w:t>
      </w:r>
      <w:r w:rsidR="0042311A" w:rsidRPr="00281C64">
        <w:rPr>
          <w:b/>
        </w:rPr>
        <w:t>IaaS e PaaS – Appalto Specifico</w:t>
      </w:r>
      <w:r w:rsidR="00136B05" w:rsidRPr="00281C64">
        <w:rPr>
          <w:b/>
        </w:rPr>
        <w:t xml:space="preserve"> </w:t>
      </w:r>
      <w:r w:rsidR="0042311A" w:rsidRPr="00281C64">
        <w:rPr>
          <w:b/>
        </w:rPr>
        <w:t>– Lotto</w:t>
      </w:r>
      <w:r w:rsidR="0042311A" w:rsidRPr="00281C64">
        <w:t xml:space="preserve"> </w:t>
      </w:r>
      <w:r w:rsidR="0042311A" w:rsidRPr="00281C64">
        <w:rPr>
          <w:b/>
        </w:rPr>
        <w:t>1</w:t>
      </w:r>
      <w:r w:rsidRPr="00281C64">
        <w:t xml:space="preserve"> </w:t>
      </w:r>
      <w:r w:rsidR="002F08E7" w:rsidRPr="00281C64">
        <w:t xml:space="preserve">– </w:t>
      </w:r>
      <w:r w:rsidR="002F08E7" w:rsidRPr="00281C64">
        <w:rPr>
          <w:b/>
        </w:rPr>
        <w:t>CIG</w:t>
      </w:r>
      <w:r w:rsidR="002F08E7" w:rsidRPr="00281C64">
        <w:t xml:space="preserve"> </w:t>
      </w:r>
      <w:r w:rsidR="00FE4D74" w:rsidRPr="00281C64">
        <w:rPr>
          <w:b/>
        </w:rPr>
        <w:t>81283942ED</w:t>
      </w:r>
      <w:r w:rsidRPr="00281C64">
        <w:t xml:space="preserve"> (di seguito, per brevità, anche AQ), </w:t>
      </w:r>
      <w:r w:rsidR="0042311A" w:rsidRPr="00281C64">
        <w:t xml:space="preserve">stipulato, ai sensi dell’art. 54, comma 4, lett. b), del D.Lgs. 50/2016, con più operatori economici quali aggiudicatari della procedura di gara per il suddetto Accordo Quadro, </w:t>
      </w:r>
      <w:r w:rsidR="00BA3540" w:rsidRPr="00281C64">
        <w:t xml:space="preserve">sul quale basare l’aggiudicazione di contratti esecutivi aventi ad oggetto servizi applicativi, mediante </w:t>
      </w:r>
      <w:r w:rsidR="00BA3540" w:rsidRPr="00281C64">
        <w:rPr>
          <w:b/>
        </w:rPr>
        <w:t>Appalto Specifico</w:t>
      </w:r>
      <w:r w:rsidR="00BA3540" w:rsidRPr="00281C64">
        <w:t xml:space="preserve"> (di seguito, per brevità, anche AS), che le Amministrazioni potranno indire nel periodo di vigenza del presente Accordo quadro.</w:t>
      </w:r>
      <w:r w:rsidR="00E74030" w:rsidRPr="00281C64">
        <w:t xml:space="preserve"> </w:t>
      </w:r>
      <w:r w:rsidR="0042311A" w:rsidRPr="00281C64">
        <w:t>Il modello adottato per il presente Accordo Quadro prevede una gara strutturata in due fasi procedurali:</w:t>
      </w:r>
    </w:p>
    <w:p w14:paraId="7C76B393" w14:textId="6DA9919B" w:rsidR="0042311A" w:rsidRPr="00281C64" w:rsidRDefault="0042311A" w:rsidP="00ED15ED">
      <w:pPr>
        <w:pStyle w:val="Paragrafoelenco"/>
        <w:numPr>
          <w:ilvl w:val="0"/>
          <w:numId w:val="22"/>
        </w:numPr>
        <w:spacing w:after="0"/>
      </w:pPr>
      <w:r w:rsidRPr="00281C64">
        <w:t>la prima fase (AQ), nella quale la Consip ha aggiudicato l’Acco</w:t>
      </w:r>
      <w:r w:rsidR="00ED15ED" w:rsidRPr="00281C64">
        <w:t>rdo Quadro relativo al lotto 1</w:t>
      </w:r>
      <w:r w:rsidRPr="00281C64">
        <w:t xml:space="preserve"> ai seguenti operatori economici, le cui offerte costituiscono parte integrante dell’AQ medesimo: </w:t>
      </w:r>
    </w:p>
    <w:p w14:paraId="58C79B65" w14:textId="1D0DD06B" w:rsidR="00EE3D33" w:rsidRPr="00281C64" w:rsidRDefault="00EE3D33" w:rsidP="00EE3D33">
      <w:pPr>
        <w:pStyle w:val="Paragrafoelenco"/>
        <w:numPr>
          <w:ilvl w:val="0"/>
          <w:numId w:val="26"/>
        </w:numPr>
        <w:spacing w:after="0"/>
      </w:pPr>
      <w:r w:rsidRPr="00281C64">
        <w:t xml:space="preserve">RTI </w:t>
      </w:r>
      <w:r w:rsidR="006D1848" w:rsidRPr="00281C64">
        <w:rPr>
          <w:b/>
        </w:rPr>
        <w:t>Al</w:t>
      </w:r>
      <w:r w:rsidR="00A72C3A" w:rsidRPr="00281C64">
        <w:rPr>
          <w:b/>
        </w:rPr>
        <w:t>maviva Spa</w:t>
      </w:r>
      <w:r w:rsidRPr="00281C64">
        <w:t xml:space="preserve"> </w:t>
      </w:r>
      <w:r w:rsidR="00A72C3A" w:rsidRPr="00281C64">
        <w:t xml:space="preserve">(mandataria) </w:t>
      </w:r>
      <w:r w:rsidRPr="00281C64">
        <w:t>- E</w:t>
      </w:r>
      <w:r w:rsidR="00D8409C" w:rsidRPr="00281C64">
        <w:t>ngineering</w:t>
      </w:r>
      <w:r w:rsidRPr="00281C64">
        <w:t xml:space="preserve"> D. H</w:t>
      </w:r>
      <w:r w:rsidR="00D8409C" w:rsidRPr="00281C64">
        <w:t>ub Spa</w:t>
      </w:r>
    </w:p>
    <w:p w14:paraId="55768711" w14:textId="316F70A4" w:rsidR="00EE3D33" w:rsidRPr="00281C64" w:rsidRDefault="00EE3D33" w:rsidP="00EE3D33">
      <w:pPr>
        <w:pStyle w:val="Paragrafoelenco"/>
        <w:numPr>
          <w:ilvl w:val="0"/>
          <w:numId w:val="26"/>
        </w:numPr>
        <w:spacing w:after="0"/>
        <w:rPr>
          <w:b/>
        </w:rPr>
      </w:pPr>
      <w:r w:rsidRPr="00281C64">
        <w:rPr>
          <w:b/>
        </w:rPr>
        <w:t>BT I</w:t>
      </w:r>
      <w:r w:rsidR="00A72C3A" w:rsidRPr="00281C64">
        <w:rPr>
          <w:b/>
        </w:rPr>
        <w:t>talia Spa</w:t>
      </w:r>
    </w:p>
    <w:p w14:paraId="0976A42E" w14:textId="68A297B3" w:rsidR="00EE3D33" w:rsidRPr="00281C64" w:rsidRDefault="00A72C3A" w:rsidP="00EE3D33">
      <w:pPr>
        <w:pStyle w:val="Paragrafoelenco"/>
        <w:numPr>
          <w:ilvl w:val="0"/>
          <w:numId w:val="26"/>
        </w:numPr>
        <w:spacing w:after="0"/>
      </w:pPr>
      <w:r w:rsidRPr="00281C64">
        <w:rPr>
          <w:b/>
        </w:rPr>
        <w:t>Telecom Italia Spa</w:t>
      </w:r>
    </w:p>
    <w:p w14:paraId="4C93483D" w14:textId="6B5D0CD8" w:rsidR="00EE3D33" w:rsidRPr="00281C64" w:rsidRDefault="00EE3D33" w:rsidP="00EE3D33">
      <w:pPr>
        <w:pStyle w:val="Paragrafoelenco"/>
        <w:numPr>
          <w:ilvl w:val="0"/>
          <w:numId w:val="26"/>
        </w:numPr>
        <w:spacing w:after="0"/>
      </w:pPr>
      <w:r w:rsidRPr="00281C64">
        <w:t xml:space="preserve">RTI </w:t>
      </w:r>
      <w:r w:rsidR="00A72C3A" w:rsidRPr="00281C64">
        <w:rPr>
          <w:b/>
        </w:rPr>
        <w:t>Italware Srl</w:t>
      </w:r>
      <w:r w:rsidRPr="00281C64">
        <w:t xml:space="preserve"> - </w:t>
      </w:r>
      <w:r w:rsidR="00A72C3A" w:rsidRPr="00281C64">
        <w:t>Infordata Spa</w:t>
      </w:r>
    </w:p>
    <w:p w14:paraId="46DAD4EC" w14:textId="086492AD" w:rsidR="00ED15ED" w:rsidRPr="00281C64" w:rsidRDefault="0042311A" w:rsidP="004F6C3E">
      <w:pPr>
        <w:pStyle w:val="Paragrafoelenco"/>
        <w:numPr>
          <w:ilvl w:val="0"/>
          <w:numId w:val="22"/>
        </w:numPr>
        <w:spacing w:after="0"/>
      </w:pPr>
      <w:r w:rsidRPr="00281C64">
        <w:t>la seconda fase, caratterizzata dall’affidamento di ciascun Contratto Esecutivo a c</w:t>
      </w:r>
      <w:r w:rsidR="00ED15ED" w:rsidRPr="00281C64">
        <w:t xml:space="preserve">ura della </w:t>
      </w:r>
      <w:r w:rsidRPr="00281C64">
        <w:t xml:space="preserve">singola Amministrazione Contraente. </w:t>
      </w:r>
    </w:p>
    <w:p w14:paraId="6020C38F" w14:textId="0D246400" w:rsidR="00A72C3A" w:rsidRPr="00281C64" w:rsidRDefault="00A72C3A" w:rsidP="00A72C3A">
      <w:r w:rsidRPr="00281C64">
        <w:t>Si ricorda che ogni obbligazione derivante dalla emissione di un ODA o l’indizione di un AS, dal rispetto dei livelli di servizio all’eventuale applicazione delle penali, riguarda i soli rapporti tra la singola Amministrazione Contraente e il Fornitore Aggiudicatario del relativo ODA/AS e che tale Fornitore è il solo responsabile dell’adempimento contrattuale.</w:t>
      </w:r>
    </w:p>
    <w:p w14:paraId="76EBBFCF" w14:textId="744C4CCB" w:rsidR="00A72C3A" w:rsidRPr="00281C64" w:rsidRDefault="00A72C3A" w:rsidP="0042190C">
      <w:pPr>
        <w:spacing w:after="0"/>
        <w:rPr>
          <w:rFonts w:ascii="Titillium Web" w:hAnsi="Titillium Web"/>
          <w:b/>
          <w:bCs/>
          <w:color w:val="821B4C"/>
          <w:sz w:val="24"/>
          <w:szCs w:val="24"/>
        </w:rPr>
      </w:pPr>
      <w:r w:rsidRPr="00281C64">
        <w:t xml:space="preserve">La presente guida, unitamente a tutta la documentazione relativa all’Accordo quadro, è disponibile sul sito internet https://www.acquistinretepa.it, nella sezione </w:t>
      </w:r>
      <w:r w:rsidRPr="00281C64">
        <w:rPr>
          <w:rFonts w:ascii="Titillium Web" w:hAnsi="Titillium Web"/>
          <w:b/>
          <w:bCs/>
          <w:color w:val="821B4C"/>
          <w:sz w:val="24"/>
          <w:szCs w:val="24"/>
        </w:rPr>
        <w:t>Acquista &gt; Accordi quadro&gt; Puclic Cloud IaaS e PaaS – Appalto Specifico.</w:t>
      </w:r>
    </w:p>
    <w:p w14:paraId="715A8EA2" w14:textId="77777777" w:rsidR="00A72C3A" w:rsidRPr="00281C64" w:rsidRDefault="00A72C3A" w:rsidP="00A72C3A">
      <w:r w:rsidRPr="00281C64">
        <w:t xml:space="preserve">Per qualsiasi informazione sull’Accordo quadro (condizioni previste, modalità di adesione, modalità di inoltro etc.) e per il supporto alla navigazione del sito </w:t>
      </w:r>
      <w:hyperlink r:id="rId9" w:history="1">
        <w:r w:rsidRPr="00281C64">
          <w:rPr>
            <w:rFonts w:ascii="Titillium Web" w:hAnsi="Titillium Web"/>
            <w:noProof/>
            <w:color w:val="821B4C"/>
            <w:u w:val="single"/>
          </w:rPr>
          <w:t>https://www.acquistinretepa.it</w:t>
        </w:r>
      </w:hyperlink>
      <w:r w:rsidRPr="00281C64">
        <w:t xml:space="preserve"> è attivo il servizio di Call Center degli Acquisti in Rete della P.A. al </w:t>
      </w:r>
      <w:r w:rsidRPr="00281C64">
        <w:rPr>
          <w:b/>
        </w:rPr>
        <w:t>numero verde 800 753 783</w:t>
      </w:r>
      <w:r w:rsidRPr="00281C64">
        <w:t>.</w:t>
      </w:r>
    </w:p>
    <w:p w14:paraId="3FBFBE6C" w14:textId="77777777" w:rsidR="0042311A" w:rsidRPr="00281C64" w:rsidRDefault="0042311A" w:rsidP="00477F23">
      <w:pPr>
        <w:spacing w:after="0"/>
      </w:pPr>
    </w:p>
    <w:p w14:paraId="282A157B" w14:textId="1F898403" w:rsidR="00A72C3A" w:rsidRPr="00281C64" w:rsidRDefault="00A72C3A" w:rsidP="00A72C3A">
      <w:pPr>
        <w:pStyle w:val="Titolo1"/>
      </w:pPr>
      <w:bookmarkStart w:id="3" w:name="_Toc99718062"/>
      <w:bookmarkStart w:id="4" w:name="_Toc509327565"/>
      <w:bookmarkStart w:id="5" w:name="_Toc78442871"/>
      <w:r w:rsidRPr="00281C64">
        <w:lastRenderedPageBreak/>
        <w:t>Modello di funzionamento dell’iniziativa Public Cloud IaaS e PaaS – Lotto 1</w:t>
      </w:r>
      <w:bookmarkEnd w:id="3"/>
    </w:p>
    <w:p w14:paraId="6B4AF9C2" w14:textId="590496E7" w:rsidR="00540A99" w:rsidRPr="00281C64" w:rsidRDefault="00540A99" w:rsidP="00540A99">
      <w:r w:rsidRPr="00281C64">
        <w:t>Il presente Accordo Quadro, relativo al lotto 1, che prevede l’erogazione di servizi IaaS e PaaS in ottica Public Cloud, ha più fornitori aggiudicatari.</w:t>
      </w:r>
    </w:p>
    <w:p w14:paraId="1B8084A0" w14:textId="77777777" w:rsidR="00540A99" w:rsidRPr="00281C64" w:rsidRDefault="00540A99" w:rsidP="00540A99">
      <w:r w:rsidRPr="00281C64">
        <w:t>Le Amministrazioni legittimate possono procedere alternativamente con le seguenti modalità:</w:t>
      </w:r>
    </w:p>
    <w:p w14:paraId="2C6CAEA4" w14:textId="0704E2D3" w:rsidR="00540A99" w:rsidRPr="00281C64" w:rsidRDefault="00540A99" w:rsidP="00540A99">
      <w:pPr>
        <w:pStyle w:val="Paragrafoelenco"/>
        <w:numPr>
          <w:ilvl w:val="0"/>
          <w:numId w:val="47"/>
        </w:numPr>
      </w:pPr>
      <w:r w:rsidRPr="00281C64">
        <w:t xml:space="preserve">uno o più Ordini alle medesime condizioni (economiche e tecnico-prestazionali) stabilite nell’Accordo Quadro, </w:t>
      </w:r>
      <w:r w:rsidRPr="00281C64">
        <w:rPr>
          <w:b/>
          <w:u w:val="single"/>
        </w:rPr>
        <w:t>senza un nuovo confronto competitivo (tramite il c.d. configuratore)</w:t>
      </w:r>
      <w:r w:rsidRPr="00281C64">
        <w:t>, ad uno degli operatori economici parti dell’Accordo Quadro, individuato sulla base di decisione motivata in relazione alle proprie specifiche esigenze;</w:t>
      </w:r>
    </w:p>
    <w:p w14:paraId="60748C1D" w14:textId="211A8E29" w:rsidR="00540A99" w:rsidRPr="00281C64" w:rsidRDefault="00540A99" w:rsidP="00540A99">
      <w:pPr>
        <w:pStyle w:val="Paragrafoelenco"/>
        <w:numPr>
          <w:ilvl w:val="0"/>
          <w:numId w:val="47"/>
        </w:numPr>
      </w:pPr>
      <w:r w:rsidRPr="00281C64">
        <w:t xml:space="preserve">con la </w:t>
      </w:r>
      <w:r w:rsidRPr="00281C64">
        <w:rPr>
          <w:b/>
          <w:u w:val="single"/>
        </w:rPr>
        <w:t>riapertura del confronto competitivo</w:t>
      </w:r>
      <w:r w:rsidR="00BA3540" w:rsidRPr="00281C64">
        <w:t xml:space="preserve"> </w:t>
      </w:r>
      <w:r w:rsidRPr="00281C64">
        <w:t>qualora l’Accordo Quadro non contenga tutti i termini e le condizioni che disciplinano la fornitura dei servizi ai sensi dell’art. 54, comma 4, lett. b), del Codice, mediante un Appalto Specifico.</w:t>
      </w:r>
    </w:p>
    <w:p w14:paraId="600D0FE1" w14:textId="310A0AE6" w:rsidR="00BA3540" w:rsidRPr="00281C64" w:rsidRDefault="00BA3540" w:rsidP="00BA3540">
      <w:r w:rsidRPr="00281C64">
        <w:t>La scelta se le prestazioni oggetto del presente AQ, debbano essere acquisite a seguito della riapertura del confronto competitivo o direttamente alle condizioni dell’Accordo Quadro avviene in base ai criteri oggettivi, indicati al paragrafo “Appalti Specifici/Ordini” del Capitolato d’oneri e nella documentazione di gara.</w:t>
      </w:r>
      <w:r w:rsidR="00977E6F" w:rsidRPr="00281C64">
        <w:br/>
      </w:r>
      <w:r w:rsidR="00977E6F" w:rsidRPr="00281C64">
        <w:br/>
        <w:t>Si ricorda che ciascun Fornitore aggiudicatario eroga i servizi inerenti un solo specifico Cloud Service Provider (CSP) come riportato nella tabella seguente</w:t>
      </w:r>
      <w:r w:rsidR="00B4283E" w:rsidRPr="00281C64">
        <w:t>.</w:t>
      </w:r>
    </w:p>
    <w:tbl>
      <w:tblPr>
        <w:tblStyle w:val="Grigliatabella"/>
        <w:tblW w:w="0" w:type="auto"/>
        <w:tblLook w:val="04A0" w:firstRow="1" w:lastRow="0" w:firstColumn="1" w:lastColumn="0" w:noHBand="0" w:noVBand="1"/>
      </w:tblPr>
      <w:tblGrid>
        <w:gridCol w:w="4814"/>
        <w:gridCol w:w="4814"/>
      </w:tblGrid>
      <w:tr w:rsidR="00977E6F" w:rsidRPr="00281C64" w14:paraId="3E414E7B" w14:textId="77777777" w:rsidTr="00977E6F">
        <w:trPr>
          <w:trHeight w:val="284"/>
        </w:trPr>
        <w:tc>
          <w:tcPr>
            <w:tcW w:w="4814" w:type="dxa"/>
            <w:shd w:val="clear" w:color="auto" w:fill="D9D9D9" w:themeFill="background1" w:themeFillShade="D9"/>
          </w:tcPr>
          <w:p w14:paraId="073D01DD" w14:textId="6BB4BCE3" w:rsidR="00977E6F" w:rsidRPr="00281C64" w:rsidRDefault="00977E6F" w:rsidP="00977E6F">
            <w:pPr>
              <w:jc w:val="center"/>
              <w:rPr>
                <w:b/>
              </w:rPr>
            </w:pPr>
            <w:r w:rsidRPr="00281C64">
              <w:rPr>
                <w:b/>
              </w:rPr>
              <w:t>Fornitore</w:t>
            </w:r>
          </w:p>
        </w:tc>
        <w:tc>
          <w:tcPr>
            <w:tcW w:w="4814" w:type="dxa"/>
            <w:shd w:val="clear" w:color="auto" w:fill="D9D9D9" w:themeFill="background1" w:themeFillShade="D9"/>
          </w:tcPr>
          <w:p w14:paraId="4A7D26AB" w14:textId="17BC384B" w:rsidR="00977E6F" w:rsidRPr="00281C64" w:rsidRDefault="00977E6F" w:rsidP="00977E6F">
            <w:pPr>
              <w:jc w:val="center"/>
              <w:rPr>
                <w:b/>
              </w:rPr>
            </w:pPr>
            <w:r w:rsidRPr="00281C64">
              <w:rPr>
                <w:b/>
              </w:rPr>
              <w:t>CSP di riferimento</w:t>
            </w:r>
          </w:p>
        </w:tc>
      </w:tr>
      <w:tr w:rsidR="00977E6F" w:rsidRPr="00281C64" w14:paraId="045D150D" w14:textId="77777777" w:rsidTr="006D1848">
        <w:trPr>
          <w:trHeight w:val="830"/>
        </w:trPr>
        <w:tc>
          <w:tcPr>
            <w:tcW w:w="4814" w:type="dxa"/>
          </w:tcPr>
          <w:p w14:paraId="6A6C8EC9" w14:textId="54DF9C00" w:rsidR="00977E6F" w:rsidRPr="00281C64" w:rsidRDefault="006D1848" w:rsidP="00BA3540">
            <w:r w:rsidRPr="00281C64">
              <w:t>RTI Al</w:t>
            </w:r>
            <w:r w:rsidR="00977E6F" w:rsidRPr="00281C64">
              <w:t>maviva Spa (mandataria) - Engineering D. Hub Spa</w:t>
            </w:r>
          </w:p>
        </w:tc>
        <w:tc>
          <w:tcPr>
            <w:tcW w:w="4814" w:type="dxa"/>
          </w:tcPr>
          <w:p w14:paraId="61AEA782" w14:textId="5268A074" w:rsidR="00977E6F" w:rsidRPr="00281C64" w:rsidRDefault="00B4283E" w:rsidP="00B4283E">
            <w:pPr>
              <w:jc w:val="center"/>
            </w:pPr>
            <w:r w:rsidRPr="00281C64">
              <w:t>Amazon Web Services</w:t>
            </w:r>
          </w:p>
        </w:tc>
      </w:tr>
      <w:tr w:rsidR="00977E6F" w:rsidRPr="00281C64" w14:paraId="09863CB6" w14:textId="77777777" w:rsidTr="00977E6F">
        <w:trPr>
          <w:trHeight w:val="284"/>
        </w:trPr>
        <w:tc>
          <w:tcPr>
            <w:tcW w:w="4814" w:type="dxa"/>
          </w:tcPr>
          <w:p w14:paraId="01FD39A4" w14:textId="7BAE8F0E" w:rsidR="00977E6F" w:rsidRPr="00281C64" w:rsidRDefault="00977E6F" w:rsidP="00BA3540">
            <w:r w:rsidRPr="00281C64">
              <w:t>BT Italia Spa</w:t>
            </w:r>
          </w:p>
        </w:tc>
        <w:tc>
          <w:tcPr>
            <w:tcW w:w="4814" w:type="dxa"/>
          </w:tcPr>
          <w:p w14:paraId="6A98F89B" w14:textId="7DFF9D1C" w:rsidR="00977E6F" w:rsidRPr="00281C64" w:rsidRDefault="00B4283E" w:rsidP="00B4283E">
            <w:pPr>
              <w:jc w:val="center"/>
            </w:pPr>
            <w:r w:rsidRPr="00281C64">
              <w:t>Microsoft Azure</w:t>
            </w:r>
          </w:p>
        </w:tc>
      </w:tr>
      <w:tr w:rsidR="00977E6F" w:rsidRPr="00281C64" w14:paraId="1AEE01AA" w14:textId="77777777" w:rsidTr="00977E6F">
        <w:trPr>
          <w:trHeight w:val="284"/>
        </w:trPr>
        <w:tc>
          <w:tcPr>
            <w:tcW w:w="4814" w:type="dxa"/>
          </w:tcPr>
          <w:p w14:paraId="7DD3D9E5" w14:textId="028A9960" w:rsidR="00977E6F" w:rsidRPr="00281C64" w:rsidRDefault="00977E6F" w:rsidP="00BA3540">
            <w:r w:rsidRPr="00281C64">
              <w:t>Telecom Italia Spa</w:t>
            </w:r>
          </w:p>
        </w:tc>
        <w:tc>
          <w:tcPr>
            <w:tcW w:w="4814" w:type="dxa"/>
          </w:tcPr>
          <w:p w14:paraId="435B26D8" w14:textId="442B4484" w:rsidR="00977E6F" w:rsidRPr="00281C64" w:rsidRDefault="00B4283E" w:rsidP="00B4283E">
            <w:pPr>
              <w:jc w:val="center"/>
            </w:pPr>
            <w:r w:rsidRPr="00281C64">
              <w:t>Google Cloud</w:t>
            </w:r>
          </w:p>
        </w:tc>
      </w:tr>
      <w:tr w:rsidR="00977E6F" w:rsidRPr="00281C64" w14:paraId="6C62A692" w14:textId="77777777" w:rsidTr="00977E6F">
        <w:trPr>
          <w:trHeight w:val="284"/>
        </w:trPr>
        <w:tc>
          <w:tcPr>
            <w:tcW w:w="4814" w:type="dxa"/>
          </w:tcPr>
          <w:p w14:paraId="37C29E64" w14:textId="1E5AB25F" w:rsidR="00977E6F" w:rsidRPr="00281C64" w:rsidRDefault="00977E6F" w:rsidP="00BA3540">
            <w:r w:rsidRPr="00281C64">
              <w:t>RTI Italware Srl - Infordata Spa</w:t>
            </w:r>
          </w:p>
        </w:tc>
        <w:tc>
          <w:tcPr>
            <w:tcW w:w="4814" w:type="dxa"/>
          </w:tcPr>
          <w:p w14:paraId="40432EAE" w14:textId="04560C23" w:rsidR="00977E6F" w:rsidRPr="00281C64" w:rsidRDefault="00B4283E" w:rsidP="00B4283E">
            <w:pPr>
              <w:jc w:val="center"/>
            </w:pPr>
            <w:r w:rsidRPr="00281C64">
              <w:t>Oracle Cloud</w:t>
            </w:r>
          </w:p>
        </w:tc>
      </w:tr>
    </w:tbl>
    <w:p w14:paraId="65FA2311" w14:textId="77777777" w:rsidR="00977E6F" w:rsidRPr="00281C64" w:rsidRDefault="00977E6F" w:rsidP="00BA3540"/>
    <w:p w14:paraId="7E228176" w14:textId="0377C01A" w:rsidR="001F7E5B" w:rsidRPr="00281C64" w:rsidRDefault="00165044" w:rsidP="00540A99">
      <w:r w:rsidRPr="00281C64">
        <w:lastRenderedPageBreak/>
        <w:t>In particolare l’Amministrazione Contraente dovrà procedere all’affidamento del Contratto Esecutivo mediante la riapertura del confronto competitivo, qualora abbia necessità di estendere i servizi di base con uno o più dei seguenti servizi accessori:</w:t>
      </w:r>
    </w:p>
    <w:p w14:paraId="6F889560" w14:textId="77777777" w:rsidR="001F7E5B" w:rsidRPr="00281C64" w:rsidRDefault="001F7E5B" w:rsidP="00540A99">
      <w:pPr>
        <w:pStyle w:val="Paragrafoelenco"/>
        <w:numPr>
          <w:ilvl w:val="0"/>
          <w:numId w:val="22"/>
        </w:numPr>
      </w:pPr>
      <w:r w:rsidRPr="00281C64">
        <w:t>s</w:t>
      </w:r>
      <w:r w:rsidR="00540A99" w:rsidRPr="00281C64">
        <w:t>ervizi di gestione delle identità, con i quali le PPAA potranno utilizzare funzioni di Single-Sign-On e</w:t>
      </w:r>
      <w:r w:rsidRPr="00281C64">
        <w:t xml:space="preserve"> </w:t>
      </w:r>
      <w:r w:rsidR="00540A99" w:rsidRPr="00281C64">
        <w:t>autenticazione a più fattori per l’accesso alle risorse ed alle funzionalità cloud;</w:t>
      </w:r>
    </w:p>
    <w:p w14:paraId="1E2D2B9A" w14:textId="77777777" w:rsidR="001F7E5B" w:rsidRPr="00281C64" w:rsidRDefault="001F7E5B" w:rsidP="00540A99">
      <w:pPr>
        <w:pStyle w:val="Paragrafoelenco"/>
        <w:numPr>
          <w:ilvl w:val="0"/>
          <w:numId w:val="22"/>
        </w:numPr>
      </w:pPr>
      <w:r w:rsidRPr="00281C64">
        <w:t>p</w:t>
      </w:r>
      <w:r w:rsidR="00540A99" w:rsidRPr="00281C64">
        <w:t>iattaforme blockchain, che dovranno consentire alle PPAA di fruire di una soluzione di sviluppo e</w:t>
      </w:r>
      <w:r w:rsidRPr="00281C64">
        <w:t xml:space="preserve"> </w:t>
      </w:r>
      <w:r w:rsidR="00540A99" w:rsidRPr="00281C64">
        <w:t>governo di soluzioni basate su blockchain;</w:t>
      </w:r>
    </w:p>
    <w:p w14:paraId="5A36AA53" w14:textId="77777777" w:rsidR="001F7E5B" w:rsidRPr="00281C64" w:rsidRDefault="001F7E5B" w:rsidP="00540A99">
      <w:pPr>
        <w:pStyle w:val="Paragrafoelenco"/>
        <w:numPr>
          <w:ilvl w:val="0"/>
          <w:numId w:val="22"/>
        </w:numPr>
      </w:pPr>
      <w:r w:rsidRPr="00281C64">
        <w:t>e</w:t>
      </w:r>
      <w:r w:rsidR="00540A99" w:rsidRPr="00281C64">
        <w:t>voluzioni della CMP: le PPAA potranno richiedere funzionalità specifiche della CMP;</w:t>
      </w:r>
    </w:p>
    <w:p w14:paraId="6D3F9031" w14:textId="77777777" w:rsidR="001F7E5B" w:rsidRPr="00281C64" w:rsidRDefault="001F7E5B" w:rsidP="00540A99">
      <w:pPr>
        <w:pStyle w:val="Paragrafoelenco"/>
        <w:numPr>
          <w:ilvl w:val="0"/>
          <w:numId w:val="22"/>
        </w:numPr>
      </w:pPr>
      <w:r w:rsidRPr="00281C64">
        <w:t>e</w:t>
      </w:r>
      <w:r w:rsidR="00540A99" w:rsidRPr="00281C64">
        <w:t>voluzioni del tool di gestione finanziaria: le PPAA potranno richiedere funzionalità specifiche del</w:t>
      </w:r>
      <w:r w:rsidRPr="00281C64">
        <w:t xml:space="preserve"> </w:t>
      </w:r>
      <w:r w:rsidR="00540A99" w:rsidRPr="00281C64">
        <w:rPr>
          <w:lang w:val="x-none"/>
        </w:rPr>
        <w:t>tool di gestione finanziaria;</w:t>
      </w:r>
    </w:p>
    <w:p w14:paraId="7B382449" w14:textId="77777777" w:rsidR="001F7E5B" w:rsidRPr="00281C64" w:rsidRDefault="001F7E5B" w:rsidP="00540A99">
      <w:pPr>
        <w:pStyle w:val="Paragrafoelenco"/>
        <w:numPr>
          <w:ilvl w:val="0"/>
          <w:numId w:val="22"/>
        </w:numPr>
      </w:pPr>
      <w:r w:rsidRPr="00281C64">
        <w:t>s</w:t>
      </w:r>
      <w:r w:rsidR="00540A99" w:rsidRPr="00281C64">
        <w:rPr>
          <w:lang w:val="x-none"/>
        </w:rPr>
        <w:t>ervizi di Web Application Firewalling: per la fruizione di servizi gestione e filtraggio del traffico di</w:t>
      </w:r>
      <w:r w:rsidRPr="00281C64">
        <w:t xml:space="preserve"> </w:t>
      </w:r>
      <w:r w:rsidRPr="00281C64">
        <w:rPr>
          <w:lang w:val="x-none"/>
        </w:rPr>
        <w:t>rete al livello 7</w:t>
      </w:r>
      <w:r w:rsidRPr="00281C64">
        <w:t>;</w:t>
      </w:r>
    </w:p>
    <w:p w14:paraId="6D9DD2F5" w14:textId="77777777" w:rsidR="001F7E5B" w:rsidRPr="00281C64" w:rsidRDefault="001F7E5B" w:rsidP="00540A99">
      <w:pPr>
        <w:pStyle w:val="Paragrafoelenco"/>
        <w:numPr>
          <w:ilvl w:val="0"/>
          <w:numId w:val="22"/>
        </w:numPr>
      </w:pPr>
      <w:r w:rsidRPr="00281C64">
        <w:t>s</w:t>
      </w:r>
      <w:r w:rsidR="00540A99" w:rsidRPr="00281C64">
        <w:rPr>
          <w:lang w:val="x-none"/>
        </w:rPr>
        <w:t>ervizi di Big DATA e DWH: per la fruizione di piattaforme in grado di gestire quantità</w:t>
      </w:r>
      <w:r w:rsidRPr="00281C64">
        <w:t xml:space="preserve"> </w:t>
      </w:r>
      <w:r w:rsidR="00540A99" w:rsidRPr="00281C64">
        <w:rPr>
          <w:lang w:val="x-none"/>
        </w:rPr>
        <w:t>potenzialmente illimitate di dati;</w:t>
      </w:r>
    </w:p>
    <w:p w14:paraId="610664B5" w14:textId="723CACB1" w:rsidR="00BA3540" w:rsidRPr="00281C64" w:rsidRDefault="001F7E5B" w:rsidP="00BA3540">
      <w:pPr>
        <w:pStyle w:val="Paragrafoelenco"/>
        <w:numPr>
          <w:ilvl w:val="0"/>
          <w:numId w:val="22"/>
        </w:numPr>
      </w:pPr>
      <w:r w:rsidRPr="00281C64">
        <w:t>s</w:t>
      </w:r>
      <w:r w:rsidR="00540A99" w:rsidRPr="00281C64">
        <w:rPr>
          <w:lang w:val="x-none"/>
        </w:rPr>
        <w:t>ervizi gestiti per l’esecuzione del codice senza il provisioning di server.</w:t>
      </w:r>
    </w:p>
    <w:p w14:paraId="1CBA05A7" w14:textId="524A8794" w:rsidR="00BA3540" w:rsidRPr="00281C64" w:rsidRDefault="00BA3540" w:rsidP="00BA3540">
      <w:r w:rsidRPr="00281C64">
        <w:t>La presente guida descrive come procedere all’affidamento attraverso Appalto Specifico</w:t>
      </w:r>
      <w:r w:rsidR="006D1848" w:rsidRPr="00281C64">
        <w:t xml:space="preserve"> con riapertura del confronto competitivo</w:t>
      </w:r>
      <w:r w:rsidRPr="00281C64">
        <w:t xml:space="preserve">. Per procedere attraverso Ordinativo di fornitura, qualora ci siano le condizioni, si rimanda </w:t>
      </w:r>
      <w:r w:rsidR="00977E6F" w:rsidRPr="00281C64">
        <w:t xml:space="preserve">invece </w:t>
      </w:r>
      <w:r w:rsidRPr="00281C64">
        <w:t>all’apposita guida nella sezione del portale</w:t>
      </w:r>
      <w:r w:rsidRPr="00281C64">
        <w:rPr>
          <w:b/>
        </w:rPr>
        <w:t xml:space="preserve"> </w:t>
      </w:r>
      <w:r w:rsidRPr="00281C64">
        <w:rPr>
          <w:b/>
          <w:color w:val="943634" w:themeColor="accent2" w:themeShade="BF"/>
        </w:rPr>
        <w:t>Acquista &gt; Accordi Quadro &gt; Servizi Public Cloud IaaS e PaaS – Ordine diretto.</w:t>
      </w:r>
    </w:p>
    <w:p w14:paraId="5D880A83" w14:textId="7CB789B0" w:rsidR="00477F23" w:rsidRPr="00281C64" w:rsidRDefault="00477F23" w:rsidP="00F27A47">
      <w:pPr>
        <w:keepNext/>
        <w:keepLines/>
        <w:numPr>
          <w:ilvl w:val="0"/>
          <w:numId w:val="2"/>
        </w:numPr>
        <w:tabs>
          <w:tab w:val="left" w:pos="709"/>
        </w:tabs>
        <w:spacing w:before="480" w:after="0"/>
        <w:ind w:left="993" w:hanging="993"/>
        <w:outlineLvl w:val="0"/>
        <w:rPr>
          <w:rFonts w:ascii="Titillium Web" w:hAnsi="Titillium Web"/>
          <w:b/>
          <w:bCs/>
          <w:color w:val="821B4C"/>
          <w:sz w:val="40"/>
          <w:szCs w:val="28"/>
        </w:rPr>
      </w:pPr>
      <w:bookmarkStart w:id="6" w:name="_Toc99718063"/>
      <w:r w:rsidRPr="00281C64">
        <w:rPr>
          <w:rFonts w:ascii="Titillium Web" w:hAnsi="Titillium Web"/>
          <w:b/>
          <w:bCs/>
          <w:color w:val="821B4C"/>
          <w:sz w:val="40"/>
          <w:szCs w:val="28"/>
        </w:rPr>
        <w:t>Oggetto d</w:t>
      </w:r>
      <w:bookmarkEnd w:id="4"/>
      <w:r w:rsidRPr="00281C64">
        <w:rPr>
          <w:rFonts w:ascii="Titillium Web" w:hAnsi="Titillium Web"/>
          <w:b/>
          <w:bCs/>
          <w:color w:val="821B4C"/>
          <w:sz w:val="40"/>
          <w:szCs w:val="28"/>
        </w:rPr>
        <w:t>ell’Accordo Quadro</w:t>
      </w:r>
      <w:bookmarkEnd w:id="5"/>
      <w:bookmarkEnd w:id="6"/>
    </w:p>
    <w:p w14:paraId="47082F09" w14:textId="614D867F" w:rsidR="00477F23" w:rsidRPr="00281C64" w:rsidRDefault="00477F23" w:rsidP="00F27A47">
      <w:pPr>
        <w:keepNext/>
        <w:keepLines/>
        <w:numPr>
          <w:ilvl w:val="1"/>
          <w:numId w:val="2"/>
        </w:numPr>
        <w:tabs>
          <w:tab w:val="left" w:pos="709"/>
        </w:tabs>
        <w:spacing w:after="0" w:line="360" w:lineRule="auto"/>
        <w:ind w:left="993" w:hanging="993"/>
        <w:outlineLvl w:val="1"/>
        <w:rPr>
          <w:rFonts w:ascii="Titillium Web" w:hAnsi="Titillium Web"/>
          <w:b/>
          <w:bCs/>
          <w:sz w:val="32"/>
          <w:szCs w:val="26"/>
        </w:rPr>
      </w:pPr>
      <w:bookmarkStart w:id="7" w:name="_Toc509327566"/>
      <w:bookmarkStart w:id="8" w:name="_Toc78442872"/>
      <w:bookmarkStart w:id="9" w:name="_Toc99718064"/>
      <w:r w:rsidRPr="00281C64">
        <w:rPr>
          <w:rFonts w:ascii="Titillium Web" w:hAnsi="Titillium Web"/>
          <w:b/>
          <w:bCs/>
          <w:sz w:val="32"/>
          <w:szCs w:val="26"/>
        </w:rPr>
        <w:t>Durata dell</w:t>
      </w:r>
      <w:bookmarkEnd w:id="7"/>
      <w:r w:rsidRPr="00281C64">
        <w:rPr>
          <w:rFonts w:ascii="Titillium Web" w:hAnsi="Titillium Web"/>
          <w:b/>
          <w:bCs/>
          <w:sz w:val="32"/>
          <w:szCs w:val="26"/>
        </w:rPr>
        <w:t>’Accordo quadro</w:t>
      </w:r>
      <w:bookmarkEnd w:id="8"/>
      <w:bookmarkEnd w:id="9"/>
    </w:p>
    <w:p w14:paraId="36162199" w14:textId="689F9026" w:rsidR="008A1B82" w:rsidRPr="00281C64" w:rsidRDefault="008A1B82" w:rsidP="008A1B82">
      <w:r w:rsidRPr="00281C64">
        <w:t xml:space="preserve">La durata dell’Accordo Quadro è di </w:t>
      </w:r>
      <w:r w:rsidRPr="00281C64">
        <w:rPr>
          <w:b/>
        </w:rPr>
        <w:t>24 (ventiquattro) mesi</w:t>
      </w:r>
      <w:r w:rsidRPr="00281C64">
        <w:t>, decorrenti dalla data di attivazione. Per durata dell’Accordo Quadro si intende il periodo entro il quale le Amministrazioni di cui sopra potranno lan</w:t>
      </w:r>
      <w:r w:rsidR="007958F2" w:rsidRPr="00281C64">
        <w:t xml:space="preserve">ciare Appalti Specifici </w:t>
      </w:r>
      <w:r w:rsidRPr="00281C64">
        <w:t>o eseguire Ordin</w:t>
      </w:r>
      <w:r w:rsidR="007958F2" w:rsidRPr="00281C64">
        <w:t xml:space="preserve">ativi di fornitura </w:t>
      </w:r>
      <w:r w:rsidRPr="00281C64">
        <w:t>per l’affidamento dei contratti di fornitura, come meglio indicato nel Capitolato tecnico Generale e Speciale.</w:t>
      </w:r>
    </w:p>
    <w:p w14:paraId="0A13A87A" w14:textId="62959637" w:rsidR="008A1B82" w:rsidRPr="00281C64" w:rsidRDefault="008A1B82" w:rsidP="008A1B82">
      <w:r w:rsidRPr="00281C64">
        <w:t xml:space="preserve">I contratti esecutivi del presente lotto avranno una durata massima di </w:t>
      </w:r>
      <w:r w:rsidRPr="00281C64">
        <w:rPr>
          <w:b/>
        </w:rPr>
        <w:t xml:space="preserve">36 </w:t>
      </w:r>
      <w:r w:rsidR="00BA3540" w:rsidRPr="00281C64">
        <w:rPr>
          <w:b/>
        </w:rPr>
        <w:t xml:space="preserve">(trentasei) </w:t>
      </w:r>
      <w:r w:rsidRPr="00281C64">
        <w:rPr>
          <w:b/>
        </w:rPr>
        <w:t>mesi</w:t>
      </w:r>
      <w:r w:rsidRPr="00281C64">
        <w:t xml:space="preserve"> dalla relativa data di stipula.</w:t>
      </w:r>
    </w:p>
    <w:p w14:paraId="010B5E67" w14:textId="23E99F45" w:rsidR="00477F23" w:rsidRPr="00281C64" w:rsidRDefault="00477F23" w:rsidP="00136B05">
      <w:pPr>
        <w:rPr>
          <w:b/>
        </w:rPr>
      </w:pPr>
      <w:r w:rsidRPr="00281C64">
        <w:rPr>
          <w:b/>
        </w:rPr>
        <w:t xml:space="preserve">L’Accordo Quadro potrà essere chiuso, anche prima della scadenza temporale suddetta, qualora dovesse esaurirsi il massimale economico previsto, eventualmente esteso come previsto dal Capitolato d’oneri di Accordo Quadro.   </w:t>
      </w:r>
    </w:p>
    <w:p w14:paraId="548FD496" w14:textId="22140ABF" w:rsidR="00201141" w:rsidRPr="00281C64" w:rsidRDefault="00201141" w:rsidP="00136B05">
      <w:pPr>
        <w:rPr>
          <w:b/>
        </w:rPr>
      </w:pPr>
      <w:r w:rsidRPr="00281C64">
        <w:rPr>
          <w:b/>
        </w:rPr>
        <w:lastRenderedPageBreak/>
        <w:t xml:space="preserve">Si precisa, inoltre, che </w:t>
      </w:r>
      <w:r w:rsidR="004F6C3E" w:rsidRPr="00281C64">
        <w:rPr>
          <w:b/>
        </w:rPr>
        <w:t>l’AQ potrà essere provvisoriamente chiuso</w:t>
      </w:r>
      <w:r w:rsidRPr="00281C64">
        <w:rPr>
          <w:b/>
        </w:rPr>
        <w:t xml:space="preserve">, in virtù del calcolo dinamico dell’erosione legato agli AS. </w:t>
      </w:r>
      <w:r w:rsidR="004F6C3E" w:rsidRPr="00281C64">
        <w:rPr>
          <w:b/>
        </w:rPr>
        <w:t>La</w:t>
      </w:r>
      <w:r w:rsidRPr="00281C64">
        <w:rPr>
          <w:b/>
        </w:rPr>
        <w:t xml:space="preserve"> riapertura del lotto </w:t>
      </w:r>
      <w:r w:rsidR="004F6C3E" w:rsidRPr="00281C64">
        <w:rPr>
          <w:b/>
        </w:rPr>
        <w:t>avverrà al</w:t>
      </w:r>
      <w:r w:rsidRPr="00281C64">
        <w:rPr>
          <w:b/>
        </w:rPr>
        <w:t>l’aggiudicazione degli AS, ove l’importo aggiudicato fosse inferiore rispetto alla base d’asta.</w:t>
      </w:r>
    </w:p>
    <w:p w14:paraId="2E8F4767" w14:textId="2C920650" w:rsidR="002A0255" w:rsidRPr="00281C64" w:rsidRDefault="002A0255" w:rsidP="00F27A47">
      <w:pPr>
        <w:keepNext/>
        <w:keepLines/>
        <w:numPr>
          <w:ilvl w:val="1"/>
          <w:numId w:val="2"/>
        </w:numPr>
        <w:tabs>
          <w:tab w:val="left" w:pos="709"/>
        </w:tabs>
        <w:spacing w:after="0" w:line="360" w:lineRule="auto"/>
        <w:ind w:left="993" w:hanging="993"/>
        <w:outlineLvl w:val="1"/>
        <w:rPr>
          <w:rFonts w:ascii="Titillium Web" w:hAnsi="Titillium Web"/>
          <w:b/>
          <w:bCs/>
          <w:sz w:val="32"/>
          <w:szCs w:val="26"/>
        </w:rPr>
      </w:pPr>
      <w:bookmarkStart w:id="10" w:name="_Toc99718065"/>
      <w:r w:rsidRPr="00281C64">
        <w:rPr>
          <w:rFonts w:ascii="Titillium Web" w:hAnsi="Titillium Web"/>
          <w:b/>
          <w:bCs/>
          <w:sz w:val="32"/>
          <w:szCs w:val="26"/>
        </w:rPr>
        <w:t xml:space="preserve">Le </w:t>
      </w:r>
      <w:r w:rsidR="00126172" w:rsidRPr="00281C64">
        <w:rPr>
          <w:rFonts w:ascii="Titillium Web" w:hAnsi="Titillium Web"/>
          <w:b/>
          <w:bCs/>
          <w:sz w:val="32"/>
          <w:szCs w:val="26"/>
        </w:rPr>
        <w:t>amministrazioni</w:t>
      </w:r>
      <w:r w:rsidRPr="00281C64">
        <w:rPr>
          <w:rFonts w:ascii="Titillium Web" w:hAnsi="Titillium Web"/>
          <w:b/>
          <w:bCs/>
          <w:sz w:val="32"/>
          <w:szCs w:val="26"/>
        </w:rPr>
        <w:t xml:space="preserve"> che possono aderire</w:t>
      </w:r>
      <w:bookmarkEnd w:id="10"/>
    </w:p>
    <w:p w14:paraId="38EB9F46" w14:textId="6C11EC0B" w:rsidR="002A0255" w:rsidRPr="00281C64" w:rsidRDefault="00B3450B" w:rsidP="00201141">
      <w:r w:rsidRPr="00281C64">
        <w:t>Al presente AQ</w:t>
      </w:r>
      <w:r w:rsidR="00126172" w:rsidRPr="00281C64">
        <w:t xml:space="preserve"> relativo al lotto </w:t>
      </w:r>
      <w:r w:rsidR="008A1B82" w:rsidRPr="00281C64">
        <w:t>1</w:t>
      </w:r>
      <w:r w:rsidRPr="00281C64">
        <w:t xml:space="preserve"> possono aderire </w:t>
      </w:r>
      <w:r w:rsidR="00201141" w:rsidRPr="00281C64">
        <w:t xml:space="preserve">le Pubbliche Amministrazioni ex art. 1 del D. Lgs. n. 165/2001, nonché gli altri soggetti legittimati ad utilizzare l’Accordo Quadro ai sensi della normativa vigente. </w:t>
      </w:r>
    </w:p>
    <w:p w14:paraId="2C314B4B" w14:textId="2CE7DE45" w:rsidR="00477F23" w:rsidRPr="00281C64" w:rsidRDefault="00126172" w:rsidP="00F27A47">
      <w:pPr>
        <w:keepNext/>
        <w:keepLines/>
        <w:numPr>
          <w:ilvl w:val="1"/>
          <w:numId w:val="2"/>
        </w:numPr>
        <w:tabs>
          <w:tab w:val="left" w:pos="709"/>
        </w:tabs>
        <w:spacing w:after="0" w:line="360" w:lineRule="auto"/>
        <w:ind w:left="993" w:hanging="993"/>
        <w:outlineLvl w:val="1"/>
        <w:rPr>
          <w:rFonts w:ascii="Titillium Web" w:hAnsi="Titillium Web"/>
          <w:b/>
          <w:bCs/>
          <w:sz w:val="32"/>
          <w:szCs w:val="26"/>
        </w:rPr>
      </w:pPr>
      <w:bookmarkStart w:id="11" w:name="_Toc78442873"/>
      <w:bookmarkStart w:id="12" w:name="_Toc99718066"/>
      <w:r w:rsidRPr="00281C64">
        <w:rPr>
          <w:rFonts w:ascii="Titillium Web" w:hAnsi="Titillium Web"/>
          <w:b/>
          <w:bCs/>
          <w:sz w:val="32"/>
          <w:szCs w:val="26"/>
        </w:rPr>
        <w:t>Modalità di a</w:t>
      </w:r>
      <w:r w:rsidR="00477F23" w:rsidRPr="00281C64">
        <w:rPr>
          <w:rFonts w:ascii="Titillium Web" w:hAnsi="Titillium Web"/>
          <w:b/>
          <w:bCs/>
          <w:sz w:val="32"/>
          <w:szCs w:val="26"/>
        </w:rPr>
        <w:t>desione all’Accordo Quadro</w:t>
      </w:r>
      <w:bookmarkEnd w:id="11"/>
      <w:r w:rsidR="00A24E6B" w:rsidRPr="00281C64">
        <w:rPr>
          <w:rFonts w:ascii="Titillium Web" w:hAnsi="Titillium Web"/>
          <w:b/>
          <w:bCs/>
          <w:sz w:val="32"/>
          <w:szCs w:val="26"/>
        </w:rPr>
        <w:t xml:space="preserve"> con confronto competiti</w:t>
      </w:r>
      <w:r w:rsidR="00BA3540" w:rsidRPr="00281C64">
        <w:rPr>
          <w:rFonts w:ascii="Titillium Web" w:hAnsi="Titillium Web"/>
          <w:b/>
          <w:bCs/>
          <w:sz w:val="32"/>
          <w:szCs w:val="26"/>
        </w:rPr>
        <w:t>vo</w:t>
      </w:r>
      <w:bookmarkEnd w:id="12"/>
    </w:p>
    <w:p w14:paraId="21AE6B10" w14:textId="42020950" w:rsidR="006764D4" w:rsidRPr="00281C64" w:rsidRDefault="006764D4" w:rsidP="006764D4">
      <w:r w:rsidRPr="00281C64">
        <w:t>Il confronto competitivo si basa sulle condizioni stabilite nell’Accordo Quadro (ivi inclu</w:t>
      </w:r>
      <w:r w:rsidR="00BA3540" w:rsidRPr="00281C64">
        <w:t>so il Capitolato Tecnico Generale e il Capitolato Tecnico Speciale L</w:t>
      </w:r>
      <w:r w:rsidRPr="00281C64">
        <w:t>otto 1</w:t>
      </w:r>
      <w:r w:rsidR="00D9730C" w:rsidRPr="00281C64">
        <w:t>)</w:t>
      </w:r>
      <w:r w:rsidRPr="00281C64">
        <w:t>, se del caso precisandole, sulla base delle altre condizioni nel seguito indicate.</w:t>
      </w:r>
    </w:p>
    <w:p w14:paraId="3ABF0F19" w14:textId="77777777" w:rsidR="006764D4" w:rsidRPr="00281C64" w:rsidRDefault="006764D4" w:rsidP="006764D4">
      <w:r w:rsidRPr="00281C64">
        <w:t xml:space="preserve">L’Amministrazione ordinante sulla base del proprio fabbisogno su cui richiede rilancio, dovrà tener conto del perimetro su cui </w:t>
      </w:r>
      <w:r w:rsidRPr="00281C64">
        <w:rPr>
          <w:b/>
          <w:u w:val="single"/>
        </w:rPr>
        <w:t>non potrà richiedere riapertura del confronto competitivo</w:t>
      </w:r>
      <w:r w:rsidRPr="00281C64">
        <w:t>.</w:t>
      </w:r>
    </w:p>
    <w:p w14:paraId="4EB2F837" w14:textId="073FDD03" w:rsidR="006764D4" w:rsidRPr="00281C64" w:rsidRDefault="006764D4" w:rsidP="006764D4">
      <w:r w:rsidRPr="00281C64">
        <w:t xml:space="preserve">In particolare, si specifica che quanto disciplinato nel paragrafo 2.13 del Capitolato </w:t>
      </w:r>
      <w:r w:rsidR="00A24E6B" w:rsidRPr="00281C64">
        <w:t>Tecnico Speciale L</w:t>
      </w:r>
      <w:r w:rsidRPr="00281C64">
        <w:t>otto 1, non consente alle Amministrazioni di variare in sede di AS le caratteristiche della fornitura su cui</w:t>
      </w:r>
      <w:r w:rsidR="00A24E6B" w:rsidRPr="00281C64">
        <w:t xml:space="preserve"> sono stati valutati in prima</w:t>
      </w:r>
      <w:r w:rsidR="00A11904" w:rsidRPr="00281C64">
        <w:t xml:space="preserve"> </w:t>
      </w:r>
      <w:r w:rsidR="00D9730C" w:rsidRPr="00281C64">
        <w:t xml:space="preserve">fase </w:t>
      </w:r>
      <w:r w:rsidR="00A11904" w:rsidRPr="00281C64">
        <w:t>i</w:t>
      </w:r>
      <w:r w:rsidRPr="00281C64">
        <w:t xml:space="preserve"> criteri ed i relativi punteggi tecnici relativi all’Ambito “Provider” di cui al paragrafo 16.1 tabella dei “Criteri per il lotto 1”.</w:t>
      </w:r>
    </w:p>
    <w:p w14:paraId="6C97F78E" w14:textId="3460C739" w:rsidR="00B86319" w:rsidRPr="00281C64" w:rsidRDefault="006764D4" w:rsidP="00B86319">
      <w:r w:rsidRPr="00281C64">
        <w:t>L’Amministrazione, con la Richiesta di offerta, definirà l’oggetto del singol</w:t>
      </w:r>
      <w:r w:rsidR="00B86319" w:rsidRPr="00281C64">
        <w:t xml:space="preserve">o Appalto Specifico stabilendo </w:t>
      </w:r>
      <w:r w:rsidRPr="00281C64">
        <w:t xml:space="preserve">le prestazioni che intende richiedere, definendo la tipologia e il valore stimato degli stessi. </w:t>
      </w:r>
      <w:r w:rsidR="00EC3F58" w:rsidRPr="00281C64">
        <w:br/>
      </w:r>
      <w:r w:rsidR="00EC3F58" w:rsidRPr="00281C64">
        <w:br/>
        <w:t xml:space="preserve">In particolare l’Amministrazione potrà richiedere eventuali servizi accessori, come </w:t>
      </w:r>
      <w:r w:rsidR="00A24E6B" w:rsidRPr="00281C64">
        <w:t xml:space="preserve">riportato precedentemente nel paragrafo e </w:t>
      </w:r>
      <w:r w:rsidR="00EC3F58" w:rsidRPr="00281C64">
        <w:t>previsto dal capitolato tecnico parte speciale del lotto 1 al paragrafo 2.12, al quale si rimanda.</w:t>
      </w:r>
    </w:p>
    <w:p w14:paraId="34EE8DBC" w14:textId="3186729D" w:rsidR="00EC3F58" w:rsidRPr="00281C64" w:rsidRDefault="00EC3F58" w:rsidP="00B86319">
      <w:pPr>
        <w:rPr>
          <w:b/>
          <w:u w:val="single"/>
        </w:rPr>
      </w:pPr>
      <w:r w:rsidRPr="00281C64">
        <w:rPr>
          <w:b/>
          <w:u w:val="single"/>
        </w:rPr>
        <w:t>In ogni caso i servizi accessori non possono comunque eccedere la sog</w:t>
      </w:r>
      <w:r w:rsidR="00A11904" w:rsidRPr="00281C64">
        <w:rPr>
          <w:b/>
          <w:u w:val="single"/>
        </w:rPr>
        <w:t>lia del 30% del valore dell’AS.</w:t>
      </w:r>
    </w:p>
    <w:p w14:paraId="004C9A0C" w14:textId="2F59AE1C" w:rsidR="00201141" w:rsidRPr="00281C64" w:rsidRDefault="00404615" w:rsidP="00477F23">
      <w:r w:rsidRPr="00281C64">
        <w:t>Gli AS dovranno essere esperiti tramite la piattaforma telematica Acquisti in Rete, secondo le modalità operative riportate nella presente Guida. I concorrenti hanno eletto il proprio domicilio sulla piattaforma dove si impegnano a verificare costantemente la presenza di Richiesta di Offerta per l’Appalto Specifico.</w:t>
      </w:r>
    </w:p>
    <w:p w14:paraId="7766D0B9" w14:textId="2EAAD122" w:rsidR="00404615" w:rsidRPr="00281C64" w:rsidRDefault="00404615" w:rsidP="00477F23">
      <w:r w:rsidRPr="00281C64">
        <w:lastRenderedPageBreak/>
        <w:t>Le Amministrazioni Contraenti provvederanno, al momento dell’invio della Richiesta di Offerta per l’Appalto Specifico, alla nomina del Responsabile del Procedimento e all’indicazione Richiesta di Offerta del CIG (Codice Identificativo Gara) “derivato” rispetto a quello dell’Accordo Quadro.</w:t>
      </w:r>
    </w:p>
    <w:p w14:paraId="2B6AC3C6" w14:textId="5E0CA57A" w:rsidR="00404615" w:rsidRPr="00281C64" w:rsidRDefault="00404615" w:rsidP="00404615">
      <w:pPr>
        <w:keepNext/>
        <w:keepLines/>
        <w:numPr>
          <w:ilvl w:val="1"/>
          <w:numId w:val="2"/>
        </w:numPr>
        <w:tabs>
          <w:tab w:val="left" w:pos="709"/>
        </w:tabs>
        <w:spacing w:after="0" w:line="360" w:lineRule="auto"/>
        <w:ind w:left="993" w:hanging="993"/>
        <w:outlineLvl w:val="1"/>
        <w:rPr>
          <w:rFonts w:ascii="Titillium Web" w:hAnsi="Titillium Web"/>
          <w:b/>
          <w:bCs/>
          <w:sz w:val="32"/>
          <w:szCs w:val="26"/>
        </w:rPr>
      </w:pPr>
      <w:bookmarkStart w:id="13" w:name="_Toc99718067"/>
      <w:r w:rsidRPr="00281C64">
        <w:rPr>
          <w:rFonts w:ascii="Titillium Web" w:hAnsi="Titillium Web"/>
          <w:b/>
          <w:bCs/>
          <w:sz w:val="32"/>
          <w:szCs w:val="26"/>
        </w:rPr>
        <w:t>Adesione in modalità con riapertura del confronto competitivo</w:t>
      </w:r>
      <w:bookmarkEnd w:id="13"/>
    </w:p>
    <w:p w14:paraId="3972FBDB" w14:textId="77C9DEF2" w:rsidR="00240235" w:rsidRPr="00281C64" w:rsidRDefault="00240235" w:rsidP="00240235">
      <w:r w:rsidRPr="00281C64">
        <w:t>Le Amministrazioni, per aderire all’AQ con riapertura del confronto competitivo procedono con la pubblicazione di un AS, attenendosi strettamente a quanto disciplinato in AQ ed effettuare i passi di seguito riportati:</w:t>
      </w:r>
    </w:p>
    <w:p w14:paraId="0B34C319" w14:textId="7C7B6C87" w:rsidR="00240235" w:rsidRPr="00281C64" w:rsidRDefault="00240235" w:rsidP="00240235">
      <w:pPr>
        <w:pStyle w:val="Paragrafoelenco"/>
        <w:numPr>
          <w:ilvl w:val="0"/>
          <w:numId w:val="32"/>
        </w:numPr>
      </w:pPr>
      <w:r w:rsidRPr="00281C64">
        <w:t xml:space="preserve">Registrazione e abilitazione sul Portale degli Acquisti della Pubblica Amministrazione </w:t>
      </w:r>
      <w:r w:rsidRPr="00281C64">
        <w:rPr>
          <w:rFonts w:ascii="Tahoma" w:eastAsia="Tahoma" w:hAnsi="Tahoma" w:cs="Times New Roman"/>
          <w:color w:val="0000FF"/>
          <w:spacing w:val="2"/>
          <w:u w:val="single"/>
          <w:lang w:eastAsia="en-US"/>
        </w:rPr>
        <w:t>http://www.acquistinretepa.it</w:t>
      </w:r>
      <w:r w:rsidRPr="00281C64">
        <w:t>.</w:t>
      </w:r>
    </w:p>
    <w:p w14:paraId="022D54F3" w14:textId="3E8B982C" w:rsidR="00240235" w:rsidRPr="00281C64" w:rsidRDefault="00240235" w:rsidP="00240235">
      <w:pPr>
        <w:pStyle w:val="Paragrafoelenco"/>
        <w:numPr>
          <w:ilvl w:val="0"/>
          <w:numId w:val="32"/>
        </w:numPr>
      </w:pPr>
      <w:r w:rsidRPr="00281C64">
        <w:t xml:space="preserve">Inviare specifica richiesta di abilitazione a bandire Appalti specifici tramite l’invio di una mail alla casella di posta </w:t>
      </w:r>
      <w:hyperlink r:id="rId10" w:history="1">
        <w:r w:rsidR="003D3566" w:rsidRPr="00281C64">
          <w:rPr>
            <w:rStyle w:val="Collegamentoipertestuale"/>
            <w:rFonts w:ascii="Tahoma" w:hAnsi="Tahoma" w:cs="Tahoma"/>
            <w:spacing w:val="2"/>
          </w:rPr>
          <w:t>AQPUBLICCLOUD-IAAS-PAAS@acquistinretepa.it</w:t>
        </w:r>
      </w:hyperlink>
      <w:r w:rsidRPr="00281C64">
        <w:t>, specificando l’utenza da abilitare;</w:t>
      </w:r>
    </w:p>
    <w:p w14:paraId="2020B0F7" w14:textId="4625C3F8" w:rsidR="00240235" w:rsidRPr="00281C64" w:rsidRDefault="00240235" w:rsidP="00240235">
      <w:pPr>
        <w:pStyle w:val="Paragrafoelenco"/>
        <w:numPr>
          <w:ilvl w:val="0"/>
          <w:numId w:val="32"/>
        </w:numPr>
      </w:pPr>
      <w:r w:rsidRPr="00281C64">
        <w:t>Accesso alla vetrina delle iniziative di acquisto da sezione Acquista &gt; Accordi Quadro &gt; Servizi applicativi in ottica Cloud e PMO – Appalto Specifico</w:t>
      </w:r>
    </w:p>
    <w:p w14:paraId="2131C089" w14:textId="061793AA" w:rsidR="00240235" w:rsidRPr="00281C64" w:rsidRDefault="00240235" w:rsidP="00240235">
      <w:pPr>
        <w:pStyle w:val="Paragrafoelenco"/>
        <w:numPr>
          <w:ilvl w:val="0"/>
          <w:numId w:val="32"/>
        </w:numPr>
      </w:pPr>
      <w:r w:rsidRPr="00281C64">
        <w:t>Personalizzazione dei documenti;</w:t>
      </w:r>
    </w:p>
    <w:p w14:paraId="0CB41938" w14:textId="70C5A1CC" w:rsidR="00240235" w:rsidRPr="00281C64" w:rsidRDefault="00240235" w:rsidP="00240235">
      <w:pPr>
        <w:pStyle w:val="Paragrafoelenco"/>
        <w:numPr>
          <w:ilvl w:val="0"/>
          <w:numId w:val="32"/>
        </w:numPr>
      </w:pPr>
      <w:r w:rsidRPr="00281C64">
        <w:t>Configurazione dell’AS in Piattaforma e pubblicazione dell’AS (invio della Richiesta di offerta);</w:t>
      </w:r>
    </w:p>
    <w:p w14:paraId="74383DD3" w14:textId="1D0CA876" w:rsidR="00240235" w:rsidRPr="00281C64" w:rsidRDefault="00240235" w:rsidP="00240235">
      <w:pPr>
        <w:pStyle w:val="Paragrafoelenco"/>
        <w:numPr>
          <w:ilvl w:val="0"/>
          <w:numId w:val="32"/>
        </w:numPr>
      </w:pPr>
      <w:r w:rsidRPr="00281C64">
        <w:t>Risposta alle richieste di chiarimenti;</w:t>
      </w:r>
    </w:p>
    <w:p w14:paraId="2CA8C89B" w14:textId="06CB2258" w:rsidR="00240235" w:rsidRPr="00281C64" w:rsidRDefault="00240235" w:rsidP="00240235">
      <w:pPr>
        <w:pStyle w:val="Paragrafoelenco"/>
        <w:numPr>
          <w:ilvl w:val="0"/>
          <w:numId w:val="32"/>
        </w:numPr>
      </w:pPr>
      <w:r w:rsidRPr="00281C64">
        <w:t>Valutazione delle offerte (extra sistema) tramite commissione di gara;</w:t>
      </w:r>
    </w:p>
    <w:p w14:paraId="6224AD03" w14:textId="63A79A9B" w:rsidR="00240235" w:rsidRPr="00281C64" w:rsidRDefault="00240235" w:rsidP="00240235">
      <w:pPr>
        <w:pStyle w:val="Paragrafoelenco"/>
        <w:numPr>
          <w:ilvl w:val="0"/>
          <w:numId w:val="32"/>
        </w:numPr>
      </w:pPr>
      <w:r w:rsidRPr="00281C64">
        <w:t>Aggiudicazione alla migliore offerta;</w:t>
      </w:r>
    </w:p>
    <w:p w14:paraId="6A25DD17" w14:textId="6896D9ED" w:rsidR="00404615" w:rsidRPr="00281C64" w:rsidRDefault="00240235" w:rsidP="00240235">
      <w:pPr>
        <w:pStyle w:val="Paragrafoelenco"/>
        <w:numPr>
          <w:ilvl w:val="0"/>
          <w:numId w:val="32"/>
        </w:numPr>
      </w:pPr>
      <w:r w:rsidRPr="00281C64">
        <w:t>Sottoscrizione del contratto esecutivo.</w:t>
      </w:r>
    </w:p>
    <w:p w14:paraId="4286C041" w14:textId="6E2FAB2C" w:rsidR="00477F23" w:rsidRPr="00281C64" w:rsidRDefault="00477F23" w:rsidP="00477F23">
      <w:pPr>
        <w:pStyle w:val="Paragrafoelenco"/>
        <w:spacing w:before="0"/>
        <w:ind w:left="720" w:right="144"/>
        <w:textAlignment w:val="baseline"/>
      </w:pPr>
    </w:p>
    <w:p w14:paraId="2B575648" w14:textId="26D45FA4" w:rsidR="00240235" w:rsidRPr="00281C64" w:rsidRDefault="00240235" w:rsidP="00240235">
      <w:pPr>
        <w:pStyle w:val="Paragrafoelenco"/>
        <w:spacing w:before="0"/>
        <w:ind w:right="144"/>
        <w:textAlignment w:val="baseline"/>
      </w:pPr>
      <w:r w:rsidRPr="00281C64">
        <w:t>Alla ricezione della richiesta di abilitazione a bandire l’AS, contenente l’utenza/le utenze da abilitare, Consip provvederà ad effettuare l’abilitazione dell’utenza/delle utenze indicata/e dandone comunicazione al richiedente attraverso l’invio di una mail di risposta e da quel momento l’utente abilitato potrà accedere, nella medesima sezione del Portale riferita al lotto di interesse, e scaricare/personalizzare i “template” dei documenti per la predisposizione dell’Appalto Specifico e lo strumento di ausilio per la determinazione della base d’asta (in formato .xls).</w:t>
      </w:r>
    </w:p>
    <w:p w14:paraId="5095CA9E" w14:textId="4D09E8C2" w:rsidR="00240235" w:rsidRPr="00281C64" w:rsidRDefault="00240235" w:rsidP="00240235">
      <w:pPr>
        <w:pStyle w:val="Paragrafoelenco"/>
        <w:spacing w:before="0"/>
        <w:ind w:right="144"/>
        <w:textAlignment w:val="baseline"/>
      </w:pPr>
      <w:r w:rsidRPr="00281C64">
        <w:t>Successivamente, l’Amministrazione, per bandire il proprio AS, caricherà a Sistema i documenti personalizzati.</w:t>
      </w:r>
    </w:p>
    <w:p w14:paraId="1033434E" w14:textId="77777777" w:rsidR="00240235" w:rsidRPr="00281C64" w:rsidRDefault="00240235" w:rsidP="00240235">
      <w:pPr>
        <w:pStyle w:val="Paragrafoelenco"/>
        <w:spacing w:before="0"/>
        <w:ind w:right="144"/>
        <w:textAlignment w:val="baseline"/>
      </w:pPr>
    </w:p>
    <w:p w14:paraId="75CC3333" w14:textId="64A38F9F" w:rsidR="00240235" w:rsidRPr="00281C64" w:rsidRDefault="00240235" w:rsidP="00240235">
      <w:pPr>
        <w:pStyle w:val="Paragrafoelenco"/>
        <w:spacing w:before="0"/>
        <w:ind w:right="144"/>
        <w:textAlignment w:val="baseline"/>
        <w:rPr>
          <w:b/>
        </w:rPr>
      </w:pPr>
      <w:r w:rsidRPr="00281C64">
        <w:rPr>
          <w:b/>
        </w:rPr>
        <w:t>L’Amministrazione ha a disposizione a Sistema nella sezione dedicata al lotto, come parte integrante della documentazione:</w:t>
      </w:r>
    </w:p>
    <w:p w14:paraId="71C9B966" w14:textId="331F15C5" w:rsidR="00240235" w:rsidRPr="00281C64" w:rsidRDefault="00240235" w:rsidP="00240235">
      <w:pPr>
        <w:pStyle w:val="Paragrafoelenco"/>
        <w:numPr>
          <w:ilvl w:val="0"/>
          <w:numId w:val="34"/>
        </w:numPr>
        <w:spacing w:before="0"/>
        <w:ind w:right="144"/>
        <w:textAlignment w:val="baseline"/>
      </w:pPr>
      <w:r w:rsidRPr="00281C64">
        <w:t>per ciascun fornitore aggiudicatario:</w:t>
      </w:r>
    </w:p>
    <w:p w14:paraId="35D51E52" w14:textId="618F3A96" w:rsidR="00240235" w:rsidRPr="00281C64" w:rsidRDefault="00240235" w:rsidP="00240235">
      <w:pPr>
        <w:pStyle w:val="Paragrafoelenco"/>
        <w:numPr>
          <w:ilvl w:val="0"/>
          <w:numId w:val="35"/>
        </w:numPr>
        <w:spacing w:before="0"/>
        <w:ind w:right="144"/>
        <w:textAlignment w:val="baseline"/>
      </w:pPr>
      <w:r w:rsidRPr="00281C64">
        <w:rPr>
          <w:b/>
        </w:rPr>
        <w:t>l’offerta tecnica</w:t>
      </w:r>
      <w:r w:rsidRPr="00281C64">
        <w:t>;</w:t>
      </w:r>
    </w:p>
    <w:p w14:paraId="4BF8EDC1" w14:textId="7D4AC4BE" w:rsidR="00240235" w:rsidRPr="00281C64" w:rsidRDefault="00240235" w:rsidP="00240235">
      <w:pPr>
        <w:pStyle w:val="Paragrafoelenco"/>
        <w:numPr>
          <w:ilvl w:val="0"/>
          <w:numId w:val="35"/>
        </w:numPr>
        <w:spacing w:before="0"/>
        <w:ind w:right="144"/>
        <w:textAlignment w:val="baseline"/>
      </w:pPr>
      <w:r w:rsidRPr="00281C64">
        <w:rPr>
          <w:b/>
        </w:rPr>
        <w:t>il contratto di AQ</w:t>
      </w:r>
      <w:r w:rsidRPr="00281C64">
        <w:t xml:space="preserve"> stipulato;</w:t>
      </w:r>
    </w:p>
    <w:p w14:paraId="27C5E745" w14:textId="6C9959CF" w:rsidR="00240235" w:rsidRPr="00281C64" w:rsidRDefault="00240235" w:rsidP="00240235">
      <w:pPr>
        <w:pStyle w:val="Paragrafoelenco"/>
        <w:numPr>
          <w:ilvl w:val="0"/>
          <w:numId w:val="35"/>
        </w:numPr>
        <w:spacing w:before="0"/>
        <w:ind w:right="144"/>
        <w:textAlignment w:val="baseline"/>
      </w:pPr>
      <w:r w:rsidRPr="00281C64">
        <w:rPr>
          <w:b/>
        </w:rPr>
        <w:t>i corrispettivi e prezzi</w:t>
      </w:r>
      <w:r w:rsidRPr="00281C64">
        <w:t xml:space="preserve"> offerti;</w:t>
      </w:r>
    </w:p>
    <w:p w14:paraId="6E4619F4" w14:textId="5CA4C84B" w:rsidR="00240235" w:rsidRPr="00281C64" w:rsidRDefault="00240235" w:rsidP="00240235">
      <w:pPr>
        <w:pStyle w:val="Paragrafoelenco"/>
        <w:numPr>
          <w:ilvl w:val="0"/>
          <w:numId w:val="35"/>
        </w:numPr>
        <w:spacing w:before="0"/>
        <w:ind w:right="144"/>
        <w:textAlignment w:val="baseline"/>
      </w:pPr>
      <w:r w:rsidRPr="00281C64">
        <w:rPr>
          <w:b/>
        </w:rPr>
        <w:t>i riferimenti</w:t>
      </w:r>
      <w:r w:rsidRPr="00281C64">
        <w:t xml:space="preserve"> del fornitore</w:t>
      </w:r>
    </w:p>
    <w:p w14:paraId="546BFCDF" w14:textId="52A9C755" w:rsidR="00240235" w:rsidRPr="00281C64" w:rsidRDefault="00240235" w:rsidP="00240235">
      <w:pPr>
        <w:pStyle w:val="Paragrafoelenco"/>
        <w:numPr>
          <w:ilvl w:val="0"/>
          <w:numId w:val="34"/>
        </w:numPr>
        <w:spacing w:before="0"/>
        <w:ind w:right="144"/>
        <w:textAlignment w:val="baseline"/>
      </w:pPr>
      <w:r w:rsidRPr="00281C64">
        <w:rPr>
          <w:b/>
        </w:rPr>
        <w:lastRenderedPageBreak/>
        <w:t>la guida alla predisposizione dell’AS</w:t>
      </w:r>
      <w:r w:rsidRPr="00281C64">
        <w:t xml:space="preserve"> contenente le modalità operative per la configurazione e pubblicazione dell’AS sulla Piattaforma AcquistinretePA;</w:t>
      </w:r>
    </w:p>
    <w:p w14:paraId="4DD0E1DC" w14:textId="5FF616FF" w:rsidR="00240235" w:rsidRPr="00281C64" w:rsidRDefault="00240235" w:rsidP="00E60C73">
      <w:pPr>
        <w:pStyle w:val="Paragrafoelenco"/>
        <w:numPr>
          <w:ilvl w:val="0"/>
          <w:numId w:val="34"/>
        </w:numPr>
        <w:spacing w:before="0"/>
        <w:ind w:right="144"/>
        <w:textAlignment w:val="baseline"/>
        <w:rPr>
          <w:b/>
          <w:color w:val="auto"/>
        </w:rPr>
      </w:pPr>
      <w:r w:rsidRPr="00281C64">
        <w:rPr>
          <w:b/>
          <w:color w:val="auto"/>
        </w:rPr>
        <w:t>il documento “Gare Strategiche - Disposizioni per la Governance”;</w:t>
      </w:r>
    </w:p>
    <w:p w14:paraId="61758F82" w14:textId="616037F9" w:rsidR="00240235" w:rsidRPr="00281C64" w:rsidRDefault="00240235" w:rsidP="00E60C73">
      <w:pPr>
        <w:pStyle w:val="Paragrafoelenco"/>
        <w:numPr>
          <w:ilvl w:val="0"/>
          <w:numId w:val="34"/>
        </w:numPr>
        <w:spacing w:before="0"/>
        <w:ind w:right="144"/>
        <w:textAlignment w:val="baseline"/>
        <w:rPr>
          <w:b/>
          <w:color w:val="auto"/>
        </w:rPr>
      </w:pPr>
      <w:r w:rsidRPr="00281C64">
        <w:rPr>
          <w:b/>
          <w:color w:val="auto"/>
        </w:rPr>
        <w:t>il documento “Gare Strategiche - Regolamento degli organismi di regolamento e controlli”;</w:t>
      </w:r>
    </w:p>
    <w:p w14:paraId="760F5F37" w14:textId="0BE8F5CE" w:rsidR="00240235" w:rsidRPr="00281C64" w:rsidRDefault="00240235" w:rsidP="00E60C73">
      <w:pPr>
        <w:pStyle w:val="Paragrafoelenco"/>
        <w:numPr>
          <w:ilvl w:val="0"/>
          <w:numId w:val="34"/>
        </w:numPr>
        <w:spacing w:before="0"/>
        <w:ind w:right="144"/>
        <w:textAlignment w:val="baseline"/>
        <w:rPr>
          <w:b/>
          <w:color w:val="auto"/>
        </w:rPr>
      </w:pPr>
      <w:r w:rsidRPr="00281C64">
        <w:rPr>
          <w:b/>
          <w:color w:val="auto"/>
        </w:rPr>
        <w:t>l’excel “indicatori di governance”;</w:t>
      </w:r>
    </w:p>
    <w:p w14:paraId="46C4BDE3" w14:textId="094E898A" w:rsidR="00240235" w:rsidRPr="00281C64" w:rsidRDefault="00240235" w:rsidP="00E60C73">
      <w:pPr>
        <w:pStyle w:val="Paragrafoelenco"/>
        <w:numPr>
          <w:ilvl w:val="0"/>
          <w:numId w:val="34"/>
        </w:numPr>
        <w:spacing w:before="0"/>
        <w:ind w:right="144"/>
        <w:textAlignment w:val="baseline"/>
        <w:rPr>
          <w:b/>
        </w:rPr>
      </w:pPr>
      <w:r w:rsidRPr="00281C64">
        <w:rPr>
          <w:b/>
        </w:rPr>
        <w:t>il KIT di AS, contenente i template da personalizzare;</w:t>
      </w:r>
    </w:p>
    <w:p w14:paraId="35C69EC3" w14:textId="13422E67" w:rsidR="00240235" w:rsidRPr="00281C64" w:rsidRDefault="00240235" w:rsidP="00E60C73">
      <w:pPr>
        <w:pStyle w:val="Paragrafoelenco"/>
        <w:numPr>
          <w:ilvl w:val="0"/>
          <w:numId w:val="34"/>
        </w:numPr>
        <w:spacing w:before="0"/>
        <w:ind w:right="144"/>
        <w:textAlignment w:val="baseline"/>
        <w:rPr>
          <w:b/>
        </w:rPr>
      </w:pPr>
      <w:r w:rsidRPr="00281C64">
        <w:rPr>
          <w:b/>
        </w:rPr>
        <w:t>il foglio di ausilio per la determinazione della base d’asta.</w:t>
      </w:r>
    </w:p>
    <w:p w14:paraId="398662D2" w14:textId="2FC873CC" w:rsidR="00240235" w:rsidRPr="00281C64" w:rsidRDefault="00E60C73" w:rsidP="00E60C73">
      <w:pPr>
        <w:spacing w:before="0"/>
        <w:ind w:right="144"/>
        <w:textAlignment w:val="baseline"/>
      </w:pPr>
      <w:r w:rsidRPr="00281C64">
        <w:t>In sintesi, l’iter procedurale da seguire è schematizzato di seguito:</w:t>
      </w:r>
    </w:p>
    <w:p w14:paraId="380F33C6" w14:textId="48092794" w:rsidR="00E60C73" w:rsidRPr="00281C64" w:rsidRDefault="00E60C73" w:rsidP="00E60C73">
      <w:pPr>
        <w:spacing w:before="0"/>
        <w:ind w:right="144"/>
        <w:jc w:val="center"/>
        <w:textAlignment w:val="baseline"/>
      </w:pPr>
      <w:r w:rsidRPr="00281C64">
        <w:rPr>
          <w:noProof/>
        </w:rPr>
        <w:drawing>
          <wp:inline distT="0" distB="0" distL="0" distR="0" wp14:anchorId="5C21E87D" wp14:editId="60CEF5AF">
            <wp:extent cx="5695950" cy="2787650"/>
            <wp:effectExtent l="19050" t="19050" r="19050" b="12700"/>
            <wp:docPr id="20" name="Picture"/>
            <wp:cNvGraphicFramePr/>
            <a:graphic xmlns:a="http://schemas.openxmlformats.org/drawingml/2006/main">
              <a:graphicData uri="http://schemas.openxmlformats.org/drawingml/2006/picture">
                <pic:pic xmlns:pic="http://schemas.openxmlformats.org/drawingml/2006/picture">
                  <pic:nvPicPr>
                    <pic:cNvPr id="20" name="Picture"/>
                    <pic:cNvPicPr preferRelativeResize="0"/>
                  </pic:nvPicPr>
                  <pic:blipFill>
                    <a:blip r:embed="rId11"/>
                    <a:stretch>
                      <a:fillRect/>
                    </a:stretch>
                  </pic:blipFill>
                  <pic:spPr>
                    <a:xfrm>
                      <a:off x="0" y="0"/>
                      <a:ext cx="5695950" cy="2787650"/>
                    </a:xfrm>
                    <a:prstGeom prst="rect">
                      <a:avLst/>
                    </a:prstGeom>
                    <a:ln>
                      <a:solidFill>
                        <a:schemeClr val="accent1"/>
                      </a:solidFill>
                    </a:ln>
                    <a:effectLst>
                      <a:softEdge rad="0"/>
                    </a:effectLst>
                  </pic:spPr>
                </pic:pic>
              </a:graphicData>
            </a:graphic>
          </wp:inline>
        </w:drawing>
      </w:r>
    </w:p>
    <w:p w14:paraId="22402F63" w14:textId="61E6E246" w:rsidR="00E60C73" w:rsidRPr="00281C64" w:rsidRDefault="00E60C73" w:rsidP="00E60C73">
      <w:pPr>
        <w:spacing w:before="0"/>
        <w:ind w:right="144"/>
        <w:jc w:val="center"/>
        <w:textAlignment w:val="baseline"/>
      </w:pPr>
    </w:p>
    <w:p w14:paraId="29FC8355" w14:textId="07FD14EA" w:rsidR="00E60C73" w:rsidRPr="00281C64" w:rsidRDefault="00E60C73" w:rsidP="00E60C73">
      <w:pPr>
        <w:spacing w:before="0"/>
        <w:ind w:right="144"/>
        <w:textAlignment w:val="baseline"/>
      </w:pPr>
      <w:r w:rsidRPr="00281C64">
        <w:t>I passaggi operativi da effettuare per la configurazione e la pubblicazione dell’AS (invio della richiesta di offerta ai fornitori) in Piattaforma sono descritti in dettaglio nella “Guida alla predisposizione dell’AS”, presente nel Portale AcquistinretePA all’interno della sezione dedicata all’iniziativa.</w:t>
      </w:r>
    </w:p>
    <w:p w14:paraId="718379F5" w14:textId="3592BAE1" w:rsidR="00E60C73" w:rsidRPr="00281C64" w:rsidRDefault="00E60C73" w:rsidP="00E60C73">
      <w:pPr>
        <w:spacing w:before="0"/>
        <w:ind w:right="144"/>
        <w:textAlignment w:val="baseline"/>
      </w:pPr>
      <w:r w:rsidRPr="00281C64">
        <w:t>L’Amministrazione, utilizzando l’utenza/utenze abilitata/e, all’atto della pubblicazione dell’AS, invierà in automatico tramite la Piattaforma una Richiesta di Offerta a tutti gli aggiudicatari del lotto 1 dell’Accordo Quadro, invitando gli stessi a presentare offerta. I confronti competitivi si baseranno sulle condizioni stabilite nell’Accordo Quadro (ivi incluso il Capitolato Tecnico Generale e Speciale e le sue appendici).</w:t>
      </w:r>
    </w:p>
    <w:p w14:paraId="591826FC" w14:textId="18FF5972" w:rsidR="00EC3F58" w:rsidRPr="00281C64" w:rsidRDefault="00EC3F58" w:rsidP="00E60C73">
      <w:pPr>
        <w:spacing w:before="0"/>
        <w:ind w:right="144"/>
        <w:textAlignment w:val="baseline"/>
      </w:pPr>
      <w:r w:rsidRPr="00281C64">
        <w:t>L’Amministrazione, con la Richiesta di offerta, definirà l’oggetto del singolo Appalto Specifico stabilendo:</w:t>
      </w:r>
    </w:p>
    <w:p w14:paraId="2DBF4C5F" w14:textId="76F16356" w:rsidR="00E11E44" w:rsidRPr="00281C64" w:rsidRDefault="00E11E44" w:rsidP="00E11E44">
      <w:pPr>
        <w:pStyle w:val="Paragrafoelenco"/>
        <w:numPr>
          <w:ilvl w:val="0"/>
          <w:numId w:val="30"/>
        </w:numPr>
      </w:pPr>
      <w:r w:rsidRPr="00281C64">
        <w:rPr>
          <w:b/>
        </w:rPr>
        <w:t>i servizi</w:t>
      </w:r>
      <w:r w:rsidRPr="00281C64">
        <w:t xml:space="preserve"> richiesti, tra quelli previsti nel Capitolato Tecnico Speciale Lotto 1; </w:t>
      </w:r>
    </w:p>
    <w:p w14:paraId="2AA31CE4" w14:textId="34D014EB" w:rsidR="00EC3F58" w:rsidRPr="00281C64" w:rsidRDefault="00EC3F58" w:rsidP="00EC3F58">
      <w:pPr>
        <w:pStyle w:val="Paragrafoelenco"/>
        <w:numPr>
          <w:ilvl w:val="0"/>
          <w:numId w:val="30"/>
        </w:numPr>
      </w:pPr>
      <w:r w:rsidRPr="00281C64">
        <w:rPr>
          <w:b/>
        </w:rPr>
        <w:t>la durata del Contratto</w:t>
      </w:r>
      <w:r w:rsidRPr="00281C64">
        <w:t>, che sarà compresa tra 12 e 36 mesi;</w:t>
      </w:r>
    </w:p>
    <w:p w14:paraId="4E981099" w14:textId="77777777" w:rsidR="00EC3F58" w:rsidRPr="00281C64" w:rsidRDefault="00EC3F58" w:rsidP="00EC3F58">
      <w:pPr>
        <w:pStyle w:val="Paragrafoelenco"/>
        <w:numPr>
          <w:ilvl w:val="0"/>
          <w:numId w:val="30"/>
        </w:numPr>
      </w:pPr>
      <w:r w:rsidRPr="00281C64">
        <w:rPr>
          <w:b/>
        </w:rPr>
        <w:t>la base d’asta</w:t>
      </w:r>
      <w:r w:rsidRPr="00281C64">
        <w:t xml:space="preserve">: la base d’asta dell’Appalto Specifico è determinata partendo dai corrispettivi maggiori offerti in fase I per ognuna delle prestazioni previste tra i Servizi di base; tali tariffe </w:t>
      </w:r>
      <w:r w:rsidRPr="00281C64">
        <w:lastRenderedPageBreak/>
        <w:t>verranno moltiplicate per i quantitativi espressi dall’Amministrazione, che predisporrà il documento di offerta economica;</w:t>
      </w:r>
    </w:p>
    <w:p w14:paraId="3AC19925" w14:textId="77777777" w:rsidR="00EC3F58" w:rsidRPr="00281C64" w:rsidRDefault="00EC3F58" w:rsidP="00EC3F58">
      <w:pPr>
        <w:pStyle w:val="Paragrafoelenco"/>
        <w:numPr>
          <w:ilvl w:val="0"/>
          <w:numId w:val="30"/>
        </w:numPr>
      </w:pPr>
      <w:r w:rsidRPr="00281C64">
        <w:t xml:space="preserve">le eventuali </w:t>
      </w:r>
      <w:r w:rsidRPr="00281C64">
        <w:rPr>
          <w:b/>
        </w:rPr>
        <w:t>caratterizzazioni dei valori di performance</w:t>
      </w:r>
      <w:r w:rsidRPr="00281C64">
        <w:t xml:space="preserve"> secondo quanto definito al Capitolato tecnico parte speciale al paragrafo 2.13 di tutti o parte dei servizi previsti in fase I;</w:t>
      </w:r>
    </w:p>
    <w:p w14:paraId="5840BB5B" w14:textId="185AACCE" w:rsidR="00EC3F58" w:rsidRPr="00281C64" w:rsidRDefault="00EC3F58" w:rsidP="00EC3F58">
      <w:pPr>
        <w:pStyle w:val="Paragrafoelenco"/>
        <w:numPr>
          <w:ilvl w:val="0"/>
          <w:numId w:val="30"/>
        </w:numPr>
      </w:pPr>
      <w:r w:rsidRPr="00281C64">
        <w:t xml:space="preserve">gli </w:t>
      </w:r>
      <w:r w:rsidRPr="00281C64">
        <w:rPr>
          <w:b/>
        </w:rPr>
        <w:t>eventuali servizi accessori</w:t>
      </w:r>
      <w:r w:rsidRPr="00281C64">
        <w:t>, come previsto dal capitolato tecnico parte speciale del lotto 1 al paragrafo 2.12, al quale si rimanda, nella misura massima del 30% del valore della base d’asta totale del singolo Appalto Specifico</w:t>
      </w:r>
      <w:r w:rsidR="000E62CA" w:rsidRPr="00281C64">
        <w:t>: p</w:t>
      </w:r>
      <w:r w:rsidRPr="00281C64">
        <w:t>er ciascun eventuale servizio accessorio l’Amministrazione dovrà definire:</w:t>
      </w:r>
    </w:p>
    <w:p w14:paraId="466076D6" w14:textId="77777777" w:rsidR="00EC3F58" w:rsidRPr="00281C64" w:rsidRDefault="00EC3F58" w:rsidP="00EC3F58">
      <w:pPr>
        <w:pStyle w:val="Paragrafoelenco"/>
        <w:numPr>
          <w:ilvl w:val="0"/>
          <w:numId w:val="31"/>
        </w:numPr>
      </w:pPr>
      <w:r w:rsidRPr="00281C64">
        <w:t>le relative basi d’asta unitarie e complessive;</w:t>
      </w:r>
    </w:p>
    <w:p w14:paraId="7DBBD557" w14:textId="77777777" w:rsidR="00EC3F58" w:rsidRPr="00281C64" w:rsidRDefault="00EC3F58" w:rsidP="00EC3F58">
      <w:pPr>
        <w:pStyle w:val="Paragrafoelenco"/>
        <w:numPr>
          <w:ilvl w:val="0"/>
          <w:numId w:val="31"/>
        </w:numPr>
      </w:pPr>
      <w:r w:rsidRPr="00281C64">
        <w:t>i requisiti minimi nel Capitolato di AS comprese le modalità di erogazione e di verifica del corretto e pieno adempimento;</w:t>
      </w:r>
    </w:p>
    <w:p w14:paraId="29F47680" w14:textId="77777777" w:rsidR="00EC3F58" w:rsidRPr="00281C64" w:rsidRDefault="00EC3F58" w:rsidP="00EC3F58">
      <w:pPr>
        <w:pStyle w:val="Paragrafoelenco"/>
        <w:numPr>
          <w:ilvl w:val="0"/>
          <w:numId w:val="31"/>
        </w:numPr>
      </w:pPr>
      <w:r w:rsidRPr="00281C64">
        <w:t>i livelli di servizio e gli indicatori di qualità (aggiungendo gli indicatori nell’appendice indicatori di qualità), le penali nello Schema di contratto di AS;</w:t>
      </w:r>
    </w:p>
    <w:p w14:paraId="67475FA4" w14:textId="77777777" w:rsidR="000E62CA" w:rsidRPr="00281C64" w:rsidRDefault="00EC3F58" w:rsidP="000E62CA">
      <w:pPr>
        <w:pStyle w:val="Paragrafoelenco"/>
        <w:numPr>
          <w:ilvl w:val="0"/>
          <w:numId w:val="31"/>
        </w:numPr>
      </w:pPr>
      <w:r w:rsidRPr="00281C64">
        <w:t>i criteri tecnici di valutazione dell’offerta tecnica nella Richiesta d’offerta e quanto necessario per di</w:t>
      </w:r>
      <w:r w:rsidR="000E62CA" w:rsidRPr="00281C64">
        <w:t>sciplinare pienamente i servizi:</w:t>
      </w:r>
    </w:p>
    <w:p w14:paraId="6A475ED9" w14:textId="757010F4" w:rsidR="000E62CA" w:rsidRPr="00281C64" w:rsidRDefault="000E62CA" w:rsidP="000E62CA">
      <w:pPr>
        <w:pStyle w:val="Paragrafoelenco"/>
        <w:numPr>
          <w:ilvl w:val="0"/>
          <w:numId w:val="36"/>
        </w:numPr>
      </w:pPr>
      <w:r w:rsidRPr="00281C64">
        <w:t xml:space="preserve">un </w:t>
      </w:r>
      <w:r w:rsidRPr="00281C64">
        <w:rPr>
          <w:b/>
        </w:rPr>
        <w:t>termine congruo per la presentazione delle offerte</w:t>
      </w:r>
      <w:r w:rsidRPr="00281C64">
        <w:t xml:space="preserve"> che, in ogni caso, dovrà essere idoneo rispetto alla complessità dell’oggetto dell’appalto e il tempo necessario per la presentazione dell’offerta e non inferiore a </w:t>
      </w:r>
      <w:r w:rsidRPr="00281C64">
        <w:rPr>
          <w:b/>
        </w:rPr>
        <w:t>60 giorni lavorativi</w:t>
      </w:r>
      <w:r w:rsidRPr="00281C64">
        <w:t xml:space="preserve"> decorrenti dall’invio della Richiesta di Offerta, nonché le ulteriori regole del confronto competitivo.</w:t>
      </w:r>
    </w:p>
    <w:p w14:paraId="4F0E9C0C" w14:textId="77777777" w:rsidR="000E62CA" w:rsidRPr="00281C64" w:rsidRDefault="000E62CA" w:rsidP="000E62CA">
      <w:pPr>
        <w:spacing w:before="0"/>
        <w:ind w:right="144"/>
        <w:textAlignment w:val="baseline"/>
      </w:pPr>
      <w:r w:rsidRPr="00281C64">
        <w:t>Nella Richiesta di offerta sarà precisato anche:</w:t>
      </w:r>
    </w:p>
    <w:p w14:paraId="7A6274EF" w14:textId="22AAC64C" w:rsidR="000E62CA" w:rsidRPr="00281C64" w:rsidRDefault="000E62CA" w:rsidP="000E62CA">
      <w:pPr>
        <w:pStyle w:val="Paragrafoelenco"/>
        <w:numPr>
          <w:ilvl w:val="0"/>
          <w:numId w:val="37"/>
        </w:numPr>
        <w:spacing w:before="0" w:after="0"/>
        <w:ind w:right="142"/>
        <w:textAlignment w:val="baseline"/>
      </w:pPr>
      <w:r w:rsidRPr="00281C64">
        <w:t>come il Fornitore, che si sia riservato la possibilità di ricorrere al subappalto, debba indicare le prestazioni da subappaltare;</w:t>
      </w:r>
    </w:p>
    <w:p w14:paraId="5E52C1CE" w14:textId="080F9229" w:rsidR="000E62CA" w:rsidRPr="00281C64" w:rsidRDefault="000E62CA" w:rsidP="000E62CA">
      <w:pPr>
        <w:pStyle w:val="Paragrafoelenco"/>
        <w:numPr>
          <w:ilvl w:val="0"/>
          <w:numId w:val="37"/>
        </w:numPr>
        <w:spacing w:before="0" w:after="0"/>
        <w:ind w:right="142"/>
        <w:textAlignment w:val="baseline"/>
      </w:pPr>
      <w:r w:rsidRPr="00281C64">
        <w:t>le eventuali ulteriori dichiarazioni che i Fornitori devono rendere;</w:t>
      </w:r>
    </w:p>
    <w:p w14:paraId="5BCF13F4" w14:textId="6D0AD65D" w:rsidR="000E62CA" w:rsidRPr="00281C64" w:rsidRDefault="000E62CA" w:rsidP="000E62CA">
      <w:pPr>
        <w:pStyle w:val="Paragrafoelenco"/>
        <w:numPr>
          <w:ilvl w:val="0"/>
          <w:numId w:val="37"/>
        </w:numPr>
        <w:spacing w:before="0" w:after="0"/>
        <w:ind w:right="142"/>
        <w:textAlignment w:val="baseline"/>
      </w:pPr>
      <w:r w:rsidRPr="00281C64">
        <w:t>le modalità di presentazione delle offerte tecniche e economiche.</w:t>
      </w:r>
    </w:p>
    <w:p w14:paraId="5EB3996C" w14:textId="1478ACAA" w:rsidR="00001EB0" w:rsidRPr="00281C64" w:rsidRDefault="00001EB0" w:rsidP="00744ADA">
      <w:pPr>
        <w:spacing w:before="0"/>
        <w:ind w:right="144"/>
        <w:textAlignment w:val="baseline"/>
      </w:pPr>
    </w:p>
    <w:p w14:paraId="5445BC9F" w14:textId="0C35B89B" w:rsidR="00477F23" w:rsidRPr="00281C64" w:rsidRDefault="00477F23" w:rsidP="00F27A47">
      <w:pPr>
        <w:keepNext/>
        <w:keepLines/>
        <w:numPr>
          <w:ilvl w:val="1"/>
          <w:numId w:val="2"/>
        </w:numPr>
        <w:tabs>
          <w:tab w:val="left" w:pos="709"/>
        </w:tabs>
        <w:spacing w:after="0" w:line="360" w:lineRule="auto"/>
        <w:ind w:left="993" w:hanging="993"/>
        <w:outlineLvl w:val="1"/>
        <w:rPr>
          <w:rFonts w:ascii="Titillium Web" w:hAnsi="Titillium Web"/>
          <w:b/>
          <w:bCs/>
          <w:sz w:val="32"/>
          <w:szCs w:val="26"/>
        </w:rPr>
      </w:pPr>
      <w:bookmarkStart w:id="14" w:name="_Toc78442874"/>
      <w:bookmarkStart w:id="15" w:name="_Toc99718068"/>
      <w:r w:rsidRPr="00281C64">
        <w:rPr>
          <w:rFonts w:ascii="Titillium Web" w:hAnsi="Titillium Web"/>
          <w:b/>
          <w:bCs/>
          <w:sz w:val="32"/>
          <w:szCs w:val="26"/>
        </w:rPr>
        <w:t xml:space="preserve">Kit per </w:t>
      </w:r>
      <w:bookmarkEnd w:id="14"/>
      <w:r w:rsidR="00E60C73" w:rsidRPr="00281C64">
        <w:rPr>
          <w:rFonts w:ascii="Titillium Web" w:hAnsi="Titillium Web"/>
          <w:b/>
          <w:bCs/>
          <w:sz w:val="32"/>
          <w:szCs w:val="26"/>
        </w:rPr>
        <w:t>Appalto Specifico</w:t>
      </w:r>
      <w:bookmarkEnd w:id="15"/>
    </w:p>
    <w:p w14:paraId="0D66FCF0" w14:textId="36A58FE6" w:rsidR="00CA2927" w:rsidRPr="00281C64" w:rsidRDefault="00CA2927" w:rsidP="00CA2927">
      <w:r w:rsidRPr="00281C64">
        <w:t>Una volta che l’Amministrazione ha completato l’iter di abilitazione a bandire l’AS in Piattaforma sarà disponibile nella sezione dedicata all’AQ, un kit (file .zip) contenente i “template” dei documenti per la predisposizione dell’Appalto Specifico, lo strumento di ausilio per la determinazione della base d’asta (in formato .xls) e l’excel per l’inserimento degli indicatori di digitalizzazione.</w:t>
      </w:r>
    </w:p>
    <w:p w14:paraId="43024BF1" w14:textId="77777777" w:rsidR="00CA2927" w:rsidRPr="00281C64" w:rsidRDefault="00CA2927" w:rsidP="00CA2927">
      <w:r w:rsidRPr="00281C64">
        <w:t>In particolare, i principali documenti che l’Amministrazione dovrà personalizzare e caricare a Sistema sono:</w:t>
      </w:r>
    </w:p>
    <w:p w14:paraId="4A2844B3" w14:textId="77777777" w:rsidR="00CA2927" w:rsidRPr="00281C64" w:rsidRDefault="00CA2927" w:rsidP="00CA2927">
      <w:pPr>
        <w:ind w:left="567" w:hanging="283"/>
      </w:pPr>
      <w:r w:rsidRPr="00281C64">
        <w:t>•</w:t>
      </w:r>
      <w:r w:rsidRPr="00281C64">
        <w:tab/>
        <w:t xml:space="preserve">la </w:t>
      </w:r>
      <w:r w:rsidRPr="00281C64">
        <w:rPr>
          <w:b/>
        </w:rPr>
        <w:t>Richiesta di Offerta</w:t>
      </w:r>
      <w:r w:rsidRPr="00281C64">
        <w:t xml:space="preserve">, nella quale riportare i servizi richiesti, i criteri di valutazione, la formula di aggiudicazione dell’AS, i servizi richiesti ed il relativo dimensionamento/prezzo a base d’asta. Si </w:t>
      </w:r>
      <w:r w:rsidRPr="00281C64">
        <w:lastRenderedPageBreak/>
        <w:t xml:space="preserve">sottolinea di prestare attenzione che i servizi richiesti ed i relativi dimensionamenti/prezzi a base d’asta siano i medesimi riportati nel file per la determinazione della base d’asta; </w:t>
      </w:r>
    </w:p>
    <w:p w14:paraId="05E0734D" w14:textId="77777777" w:rsidR="00CA2927" w:rsidRPr="00281C64" w:rsidRDefault="00CA2927" w:rsidP="00CA2927">
      <w:pPr>
        <w:ind w:left="567" w:hanging="283"/>
      </w:pPr>
      <w:r w:rsidRPr="00281C64">
        <w:t>•</w:t>
      </w:r>
      <w:r w:rsidRPr="00281C64">
        <w:tab/>
        <w:t xml:space="preserve">lo </w:t>
      </w:r>
      <w:r w:rsidRPr="00281C64">
        <w:rPr>
          <w:b/>
        </w:rPr>
        <w:t>Schema di offerta Tecnica</w:t>
      </w:r>
      <w:r w:rsidRPr="00281C64">
        <w:t>, nel quale l’Amministrazione deve inserire lo schema che il fornitore dovrà rispettare nel predisporre la sua offerta tecnica. Tale schema di offerta tecnica deve avere una struttura che corrisponda ai criteri di valutazione scelti dall’Amministrazione e presenti nel documento di Richiesta di Offerta dell’AS (vedi punto precedente);</w:t>
      </w:r>
    </w:p>
    <w:p w14:paraId="0EB41682" w14:textId="77777777" w:rsidR="00CA2927" w:rsidRPr="00281C64" w:rsidRDefault="00CA2927" w:rsidP="00A12843">
      <w:pPr>
        <w:ind w:left="567" w:hanging="283"/>
      </w:pPr>
      <w:r w:rsidRPr="00281C64">
        <w:t>•</w:t>
      </w:r>
      <w:r w:rsidRPr="00281C64">
        <w:tab/>
        <w:t xml:space="preserve">il </w:t>
      </w:r>
      <w:r w:rsidRPr="00281C64">
        <w:rPr>
          <w:b/>
        </w:rPr>
        <w:t>Capitolato Tecnico</w:t>
      </w:r>
      <w:r w:rsidRPr="00281C64">
        <w:t xml:space="preserve">, nel quale l’Amministrazione descriverà in maniera dettagliata i servizi richiesti, il proprio contesto tecnico/normativo ed i requisiti minimi dei servizi che il Fornitore dovrà rispettare; </w:t>
      </w:r>
    </w:p>
    <w:p w14:paraId="298BA1D1" w14:textId="77777777" w:rsidR="00CA2927" w:rsidRPr="00281C64" w:rsidRDefault="00CA2927" w:rsidP="00A12843">
      <w:pPr>
        <w:ind w:left="567" w:hanging="283"/>
      </w:pPr>
      <w:r w:rsidRPr="00281C64">
        <w:t>•</w:t>
      </w:r>
      <w:r w:rsidRPr="00281C64">
        <w:tab/>
        <w:t xml:space="preserve">l’appendice dei livelli di servizio, che l’Amministrazione dovrà personalizzare in base ai livelli di servizio previsti; alcuni potranno essere aggiunti, altri eliminati, tutti in generale potranno essere modificati, ad esempio per variare i livelli di soglia; si faccia attenzione a modificare anche le relative penali presenti nel template di schema di contratto; </w:t>
      </w:r>
    </w:p>
    <w:p w14:paraId="5C60F583" w14:textId="77777777" w:rsidR="00CA2927" w:rsidRPr="00281C64" w:rsidRDefault="00CA2927" w:rsidP="00A12843">
      <w:pPr>
        <w:ind w:left="567" w:hanging="283"/>
      </w:pPr>
      <w:r w:rsidRPr="00281C64">
        <w:t>•</w:t>
      </w:r>
      <w:r w:rsidRPr="00281C64">
        <w:tab/>
        <w:t>(eventuale) l’</w:t>
      </w:r>
      <w:r w:rsidRPr="00281C64">
        <w:rPr>
          <w:b/>
        </w:rPr>
        <w:t>appendice di contesto tecnico</w:t>
      </w:r>
      <w:r w:rsidRPr="00281C64">
        <w:t xml:space="preserve">, nel caso in cui la descrizione dell’ambiente fosse particolarmente articolata e complessa; </w:t>
      </w:r>
    </w:p>
    <w:p w14:paraId="0EB783ED" w14:textId="77777777" w:rsidR="00CA2927" w:rsidRPr="00281C64" w:rsidRDefault="00CA2927" w:rsidP="00A12843">
      <w:pPr>
        <w:ind w:left="567" w:hanging="283"/>
      </w:pPr>
      <w:r w:rsidRPr="00281C64">
        <w:t>•</w:t>
      </w:r>
      <w:r w:rsidRPr="00281C64">
        <w:tab/>
        <w:t xml:space="preserve">lo </w:t>
      </w:r>
      <w:r w:rsidRPr="00281C64">
        <w:rPr>
          <w:b/>
        </w:rPr>
        <w:t>schema di contratto esecutivo</w:t>
      </w:r>
      <w:r w:rsidRPr="00281C64">
        <w:t xml:space="preserve">, nel quale l’Amministrazione personalizzerà le diverse clausole, con particolare attenzione alle penali (da coordinare con gli indicatori di qualità del Capitolato Tecnico dell’AS); </w:t>
      </w:r>
    </w:p>
    <w:p w14:paraId="6A55D24E" w14:textId="48F0A9D7" w:rsidR="00CA2927" w:rsidRPr="00281C64" w:rsidRDefault="00CA2927" w:rsidP="006D1848">
      <w:pPr>
        <w:ind w:left="567" w:hanging="283"/>
      </w:pPr>
      <w:r w:rsidRPr="00281C64">
        <w:t>•</w:t>
      </w:r>
      <w:r w:rsidRPr="00281C64">
        <w:tab/>
        <w:t xml:space="preserve">le </w:t>
      </w:r>
      <w:r w:rsidRPr="00281C64">
        <w:rPr>
          <w:b/>
        </w:rPr>
        <w:t>condizioni di assicurazione</w:t>
      </w:r>
      <w:r w:rsidRPr="00281C64">
        <w:t xml:space="preserve"> (l’Amministrazione può anche decidere di utilizzare il un suo standard) - Non è prevista alcuna polizza assicurativa per l'AQ. Nel caso l’amministrazione committente debba richiedere le coperture assicurative sui servizi oggetto di AS, ne disciplina contenuto e modalità nella RdO, allegando il Template di riferimento pubblicato nel kit o un suo standard;  </w:t>
      </w:r>
    </w:p>
    <w:p w14:paraId="7971EE06" w14:textId="55FF6EB1" w:rsidR="00CA2927" w:rsidRPr="00281C64" w:rsidRDefault="00CA2927" w:rsidP="00A12843">
      <w:pPr>
        <w:ind w:left="567" w:hanging="283"/>
      </w:pPr>
      <w:r w:rsidRPr="00281C64">
        <w:t>•</w:t>
      </w:r>
      <w:r w:rsidRPr="00281C64">
        <w:tab/>
        <w:t xml:space="preserve">l’excel con gli </w:t>
      </w:r>
      <w:r w:rsidRPr="00281C64">
        <w:rPr>
          <w:b/>
        </w:rPr>
        <w:t xml:space="preserve">indicatori di Governance </w:t>
      </w:r>
      <w:r w:rsidR="006D1848" w:rsidRPr="00281C64">
        <w:rPr>
          <w:b/>
        </w:rPr>
        <w:t>Public cloud L1</w:t>
      </w:r>
      <w:r w:rsidRPr="00281C64">
        <w:t xml:space="preserve">; </w:t>
      </w:r>
    </w:p>
    <w:p w14:paraId="22C54767" w14:textId="77777777" w:rsidR="00CA2927" w:rsidRPr="00281C64" w:rsidRDefault="00CA2927" w:rsidP="00A12843">
      <w:pPr>
        <w:ind w:left="567" w:hanging="283"/>
      </w:pPr>
      <w:r w:rsidRPr="00281C64">
        <w:t>•</w:t>
      </w:r>
      <w:r w:rsidRPr="00281C64">
        <w:tab/>
        <w:t xml:space="preserve">(eventuale) </w:t>
      </w:r>
      <w:r w:rsidRPr="00281C64">
        <w:rPr>
          <w:b/>
        </w:rPr>
        <w:t>Facsimile Dichiarazione familiari conviventi</w:t>
      </w:r>
      <w:r w:rsidRPr="00281C64">
        <w:t xml:space="preserve">; </w:t>
      </w:r>
    </w:p>
    <w:p w14:paraId="05511190" w14:textId="77777777" w:rsidR="00CA2927" w:rsidRPr="00281C64" w:rsidRDefault="00CA2927" w:rsidP="00A12843">
      <w:pPr>
        <w:ind w:left="567" w:hanging="283"/>
      </w:pPr>
      <w:r w:rsidRPr="00281C64">
        <w:t>•</w:t>
      </w:r>
      <w:r w:rsidRPr="00281C64">
        <w:tab/>
      </w:r>
      <w:r w:rsidRPr="00281C64">
        <w:rPr>
          <w:b/>
        </w:rPr>
        <w:t>Facsimile Dichiarazione di domicilio e accesso agli atti</w:t>
      </w:r>
      <w:r w:rsidRPr="00281C64">
        <w:t xml:space="preserve">; </w:t>
      </w:r>
    </w:p>
    <w:p w14:paraId="45D12232" w14:textId="121B7E4F" w:rsidR="00CA2927" w:rsidRPr="00281C64" w:rsidRDefault="00CA2927" w:rsidP="00A12843">
      <w:pPr>
        <w:ind w:left="567" w:hanging="283"/>
      </w:pPr>
      <w:r w:rsidRPr="00281C64">
        <w:t>•</w:t>
      </w:r>
      <w:r w:rsidRPr="00281C64">
        <w:tab/>
      </w:r>
      <w:r w:rsidRPr="00281C64">
        <w:rPr>
          <w:b/>
        </w:rPr>
        <w:t>Facsimile per la Nomina Responsabile del trattamento dei dati personali</w:t>
      </w:r>
      <w:r w:rsidRPr="00281C64">
        <w:t>.</w:t>
      </w:r>
    </w:p>
    <w:p w14:paraId="68B8E3FA" w14:textId="77777777" w:rsidR="00CA2927" w:rsidRPr="00281C64" w:rsidRDefault="00CA2927" w:rsidP="000E62CA"/>
    <w:p w14:paraId="5A5B82BD" w14:textId="77777777" w:rsidR="00A12843" w:rsidRPr="00281C64" w:rsidRDefault="00A12843" w:rsidP="00A12843">
      <w:pPr>
        <w:pStyle w:val="Titolo2"/>
      </w:pPr>
      <w:bookmarkStart w:id="16" w:name="_Toc97120697"/>
      <w:bookmarkStart w:id="17" w:name="_Toc99718069"/>
      <w:r w:rsidRPr="00281C64">
        <w:lastRenderedPageBreak/>
        <w:t>Criterio di aggiudicazione dell’AS</w:t>
      </w:r>
      <w:bookmarkEnd w:id="16"/>
      <w:bookmarkEnd w:id="17"/>
    </w:p>
    <w:p w14:paraId="03B364B4" w14:textId="6345244A" w:rsidR="00A12843" w:rsidRPr="00281C64" w:rsidRDefault="00A12843" w:rsidP="00A12843">
      <w:r w:rsidRPr="00281C64">
        <w:t xml:space="preserve">Come previsto al paragrafo </w:t>
      </w:r>
      <w:r w:rsidR="00A316C6" w:rsidRPr="00281C64">
        <w:t>2.4</w:t>
      </w:r>
      <w:r w:rsidRPr="00281C64">
        <w:t xml:space="preserve"> del Capitolato </w:t>
      </w:r>
      <w:r w:rsidR="00A316C6" w:rsidRPr="00281C64">
        <w:t xml:space="preserve">d’Oneri </w:t>
      </w:r>
      <w:r w:rsidRPr="00281C64">
        <w:t xml:space="preserve">dell’AQ, ogni singolo Appalto Specifico verrà aggiudicato dall’Amministrazione sulla base del criterio dell’offerta economicamente più vantaggiosa sulla base del miglior rapporto qualità prezzo ai sensi dell’art. 95 del Codice. </w:t>
      </w:r>
    </w:p>
    <w:p w14:paraId="533DE7CE" w14:textId="656F8D38" w:rsidR="00A316C6" w:rsidRPr="00281C64" w:rsidRDefault="00A316C6" w:rsidP="00A316C6">
      <w:r w:rsidRPr="00281C64">
        <w:t xml:space="preserve">L’Amministrazione avrà facoltà di modificare il peso della componente tecnica ed economica rispetto a quanto indicato in I fase nel rispetto di quanto definito dal Codice e </w:t>
      </w:r>
      <w:proofErr w:type="gramStart"/>
      <w:r w:rsidRPr="00281C64">
        <w:t>s.m.i.</w:t>
      </w:r>
      <w:r w:rsidR="00ED21FB" w:rsidRPr="00281C64">
        <w:t>.</w:t>
      </w:r>
      <w:proofErr w:type="gramEnd"/>
    </w:p>
    <w:p w14:paraId="03898EDD" w14:textId="75E400AE" w:rsidR="00ED21FB" w:rsidRPr="00281C64" w:rsidRDefault="00ED21FB" w:rsidP="00ED21FB">
      <w:r w:rsidRPr="00281C64">
        <w:t>In caso di modifica del peso della componente tecnica, i punteggi tecnici ereditati (PTer) relativi alla categoria “Provider” (sempre ereditata) e quelli relativi alle categorie dei Servizi di Base che non vengono modificati dall’oggetto dell’AS verranno riproporzionati rispetto al nuovo peso della componente tecnica scelto dall’Amministrazione (PTtotas). La differenza tra il PTtotas e il PTer rappresenterà la quota di punteggi tecnici disponibili per personalizzazioni dei servizi di base e servizi accessori (PTas).</w:t>
      </w:r>
    </w:p>
    <w:p w14:paraId="46FB00C2" w14:textId="3A388E98" w:rsidR="00ED21FB" w:rsidRPr="00281C64" w:rsidRDefault="00ED21FB" w:rsidP="00ED21FB">
      <w:r w:rsidRPr="00281C64">
        <w:t>Ad esempio, ipotizzando che la componente tecnica di AS scelta dall’Amministrazione pesi 70 punti, i punteggi tecnici ereditati andranno riparametrati:</w:t>
      </w:r>
    </w:p>
    <w:p w14:paraId="26C33317" w14:textId="72C9C949" w:rsidR="00ED21FB" w:rsidRPr="00281C64" w:rsidRDefault="008A1024" w:rsidP="00ED21FB">
      <m:oMathPara>
        <m:oMath>
          <m:sSub>
            <m:sSubPr>
              <m:ctrlPr>
                <w:rPr>
                  <w:rFonts w:ascii="Cambria Math" w:hAnsi="Cambria Math"/>
                  <w:i/>
                </w:rPr>
              </m:ctrlPr>
            </m:sSubPr>
            <m:e>
              <m:r>
                <w:rPr>
                  <w:rFonts w:ascii="Cambria Math" w:hAnsi="Cambria Math"/>
                </w:rPr>
                <m:t>PTER</m:t>
              </m:r>
            </m:e>
            <m:sub>
              <m:r>
                <w:rPr>
                  <w:rFonts w:ascii="Cambria Math" w:hAnsi="Cambria Math"/>
                </w:rPr>
                <m:t>iAS</m:t>
              </m:r>
            </m:sub>
          </m:sSub>
          <m:r>
            <w:rPr>
              <w:rFonts w:ascii="Cambria Math" w:hAnsi="Cambria Math"/>
            </w:rPr>
            <m:t>=</m:t>
          </m:r>
          <m:f>
            <m:fPr>
              <m:ctrlPr>
                <w:rPr>
                  <w:rFonts w:ascii="Cambria Math" w:hAnsi="Cambria Math"/>
                  <w:i/>
                </w:rPr>
              </m:ctrlPr>
            </m:fPr>
            <m:num>
              <m:r>
                <w:rPr>
                  <w:rFonts w:ascii="Cambria Math" w:hAnsi="Cambria Math"/>
                </w:rPr>
                <m:t>PTERi</m:t>
              </m:r>
            </m:num>
            <m:den>
              <m:r>
                <w:rPr>
                  <w:rFonts w:ascii="Cambria Math" w:hAnsi="Cambria Math"/>
                </w:rPr>
                <m:t>80</m:t>
              </m:r>
            </m:den>
          </m:f>
          <m:r>
            <w:rPr>
              <w:rFonts w:ascii="Cambria Math" w:hAnsi="Cambria Math"/>
            </w:rPr>
            <m:t>*70</m:t>
          </m:r>
        </m:oMath>
      </m:oMathPara>
    </w:p>
    <w:p w14:paraId="6B4E776B" w14:textId="7B0827F2" w:rsidR="00ED21FB" w:rsidRPr="00281C64" w:rsidRDefault="00ED21FB" w:rsidP="00ED21FB">
      <w:r w:rsidRPr="00281C64">
        <w:t>l’Amministrazione sarà tenuta ad adottare per l’assegnazione del punteggio economico la medesima formula prevista per l’aggiudicazione di fase I, ossia una formula concava a punteggio assoluto, con possibilità di scelta del coefficiente k in un intervallo compreso tra 1 e 4.</w:t>
      </w:r>
    </w:p>
    <w:p w14:paraId="4AA4950C" w14:textId="4439B140" w:rsidR="00ED21FB" w:rsidRPr="00281C64" w:rsidRDefault="00ED21FB" w:rsidP="00ED21FB">
      <w:pPr>
        <w:autoSpaceDE w:val="0"/>
        <w:autoSpaceDN w:val="0"/>
        <w:adjustRightInd w:val="0"/>
        <w:snapToGrid w:val="0"/>
        <w:spacing w:before="0" w:after="0" w:line="240" w:lineRule="auto"/>
        <w:jc w:val="center"/>
        <w:rPr>
          <w:rFonts w:ascii="Calibri" w:hAnsi="Calibri" w:cs="Calibri"/>
          <w:i/>
          <w:color w:val="000000"/>
          <w:sz w:val="16"/>
          <w:szCs w:val="24"/>
          <w:lang w:val="x-none"/>
        </w:rPr>
      </w:pPr>
      <w:r w:rsidRPr="00281C64">
        <w:rPr>
          <w:rFonts w:ascii="Calibri" w:hAnsi="Calibri" w:cs="Calibri"/>
          <w:i/>
          <w:color w:val="000000"/>
          <w:sz w:val="24"/>
          <w:szCs w:val="24"/>
          <w:lang w:val="x-none"/>
        </w:rPr>
        <w:t>Ci = 1-(1-Ri)</w:t>
      </w:r>
      <w:r w:rsidRPr="00281C64">
        <w:rPr>
          <w:rFonts w:ascii="Calibri" w:hAnsi="Calibri" w:cs="Calibri"/>
          <w:i/>
          <w:color w:val="000000"/>
          <w:sz w:val="24"/>
          <w:szCs w:val="24"/>
          <w:vertAlign w:val="superscript"/>
        </w:rPr>
        <w:t>k</w:t>
      </w:r>
    </w:p>
    <w:p w14:paraId="6ED1A061" w14:textId="77777777" w:rsidR="00A12843" w:rsidRPr="00281C64" w:rsidRDefault="00A12843" w:rsidP="00A12843">
      <w:pPr>
        <w:pStyle w:val="Titolo2"/>
      </w:pPr>
      <w:bookmarkStart w:id="18" w:name="_Toc97120699"/>
      <w:bookmarkStart w:id="19" w:name="_Toc99718070"/>
      <w:r w:rsidRPr="00281C64">
        <w:t>Eventuale mancata presentazione dell’offerta</w:t>
      </w:r>
      <w:bookmarkEnd w:id="18"/>
      <w:bookmarkEnd w:id="19"/>
    </w:p>
    <w:p w14:paraId="7B02A8FD" w14:textId="412F10CB" w:rsidR="00A12843" w:rsidRPr="00281C64" w:rsidRDefault="000D220C" w:rsidP="000D220C">
      <w:r w:rsidRPr="00281C64">
        <w:t xml:space="preserve">Sarà possibile per un Fornitore rinunciare ad un AS bandito dall’Amministrazione che includa servizi di cui al par. 2.12 del Capitolato Tecnico parte Speciale Lotto 1 (c.d. Servizi Accessori), solo ed esclusivamente nel caso in cui il Fornitore non disponga nel listino pubblico del CSP di riferimento dei servizi citati. </w:t>
      </w:r>
    </w:p>
    <w:p w14:paraId="3019E693" w14:textId="77777777" w:rsidR="00A12843" w:rsidRPr="00281C64" w:rsidRDefault="00A12843" w:rsidP="00A12843">
      <w:pPr>
        <w:rPr>
          <w:b/>
        </w:rPr>
      </w:pPr>
      <w:r w:rsidRPr="00281C64">
        <w:rPr>
          <w:b/>
        </w:rPr>
        <w:t>Per tale motivo l’Amministrazione è tenuta a comunicare in forma scritta alla Consip tutti i casi di mancata presentazione dell’offerta, ai fini dell’eventuale risoluzione dell’Accordo Quadro.</w:t>
      </w:r>
    </w:p>
    <w:p w14:paraId="26291B4E" w14:textId="77777777" w:rsidR="003C3A07" w:rsidRPr="00F90D67" w:rsidRDefault="003C3A07" w:rsidP="003C3A07">
      <w:pPr>
        <w:keepNext/>
        <w:keepLines/>
        <w:numPr>
          <w:ilvl w:val="1"/>
          <w:numId w:val="2"/>
        </w:numPr>
        <w:tabs>
          <w:tab w:val="left" w:pos="709"/>
        </w:tabs>
        <w:spacing w:after="0" w:line="360" w:lineRule="auto"/>
        <w:ind w:left="993" w:hanging="993"/>
        <w:outlineLvl w:val="1"/>
        <w:rPr>
          <w:rFonts w:ascii="Titillium Web" w:hAnsi="Titillium Web"/>
          <w:b/>
          <w:bCs/>
          <w:sz w:val="32"/>
          <w:szCs w:val="26"/>
        </w:rPr>
      </w:pPr>
      <w:bookmarkStart w:id="20" w:name="_Toc78442881"/>
      <w:bookmarkStart w:id="21" w:name="_Toc88471829"/>
      <w:bookmarkStart w:id="22" w:name="_Toc24124847"/>
      <w:bookmarkStart w:id="23" w:name="_Toc72243540"/>
      <w:bookmarkStart w:id="24" w:name="_Toc78442875"/>
      <w:bookmarkStart w:id="25" w:name="_Toc99718071"/>
      <w:r w:rsidRPr="00F90D67">
        <w:rPr>
          <w:rFonts w:ascii="Titillium Web" w:hAnsi="Titillium Web"/>
          <w:b/>
          <w:bCs/>
          <w:sz w:val="32"/>
          <w:szCs w:val="26"/>
        </w:rPr>
        <w:lastRenderedPageBreak/>
        <w:t>Indicatori di digitalizzazione</w:t>
      </w:r>
      <w:bookmarkEnd w:id="20"/>
      <w:bookmarkEnd w:id="21"/>
    </w:p>
    <w:p w14:paraId="12095728" w14:textId="77777777" w:rsidR="003C3A07" w:rsidRDefault="003C3A07" w:rsidP="003C3A07">
      <w:pPr>
        <w:spacing w:after="0" w:line="240" w:lineRule="auto"/>
      </w:pPr>
      <w:bookmarkStart w:id="26" w:name="_Toc72164207"/>
      <w:r w:rsidRPr="005A463E">
        <w:t>Il presente AQ stabilisce l’utilizzo di indicatori di digitalizzazione utilizzati per il monitoraggio dei contratti e del raggiungimento dei relativi obiettivi, delle due seguenti tipologie:</w:t>
      </w:r>
      <w:bookmarkStart w:id="27" w:name="_Toc72164208"/>
      <w:bookmarkEnd w:id="26"/>
    </w:p>
    <w:p w14:paraId="0B614884" w14:textId="77777777" w:rsidR="003C3A07" w:rsidRPr="005A463E" w:rsidRDefault="003C3A07" w:rsidP="003C3A07">
      <w:pPr>
        <w:pStyle w:val="Paragrafoelenco"/>
        <w:numPr>
          <w:ilvl w:val="0"/>
          <w:numId w:val="6"/>
        </w:numPr>
        <w:spacing w:after="0" w:line="240" w:lineRule="auto"/>
      </w:pPr>
      <w:r w:rsidRPr="00F92C3B">
        <w:rPr>
          <w:b/>
        </w:rPr>
        <w:t>Indicatori Generali di digitalizzazione</w:t>
      </w:r>
      <w:r w:rsidRPr="005A463E">
        <w:t>, che mappano il macro-obiettivo dell’intervento rispetto ai principali obiettivi strategici del Piano Triennale</w:t>
      </w:r>
      <w:bookmarkEnd w:id="27"/>
    </w:p>
    <w:p w14:paraId="2E279F29" w14:textId="77777777" w:rsidR="003C3A07" w:rsidRPr="005A463E" w:rsidRDefault="003C3A07" w:rsidP="003C3A07">
      <w:pPr>
        <w:pStyle w:val="ElencoLiv1"/>
        <w:numPr>
          <w:ilvl w:val="0"/>
          <w:numId w:val="6"/>
        </w:numPr>
      </w:pPr>
      <w:bookmarkStart w:id="28" w:name="_Toc72164209"/>
      <w:r w:rsidRPr="005A463E">
        <w:rPr>
          <w:b/>
        </w:rPr>
        <w:t>Indicatori specifici di digitalizzazione</w:t>
      </w:r>
      <w:r w:rsidRPr="005A463E">
        <w:t>, che definiscono, sulla base delle specificità della Gara Strategica, le misure di digitalizzazione applicabili allo specifico contratto esecutivo, in funzione dei servizi acquisiti.</w:t>
      </w:r>
      <w:bookmarkEnd w:id="28"/>
    </w:p>
    <w:p w14:paraId="4111AC01" w14:textId="77777777" w:rsidR="003C3A07" w:rsidRDefault="003C3A07" w:rsidP="003C3A07">
      <w:pPr>
        <w:spacing w:after="0"/>
      </w:pPr>
      <w:bookmarkStart w:id="29" w:name="_Toc72164210"/>
      <w:r w:rsidRPr="005A463E">
        <w:t>L’acquisizione del servizio prevede la scelta da parte dell’Amministrazione degli indicatori generali di digitalizzazione, come definito nel Capitolato Tecnico Generale, e degli indicatori specifici di</w:t>
      </w:r>
      <w:bookmarkStart w:id="30" w:name="_Toc72164211"/>
      <w:bookmarkEnd w:id="29"/>
      <w:r>
        <w:t xml:space="preserve"> </w:t>
      </w:r>
      <w:r w:rsidRPr="005A463E">
        <w:t>digitalizzazione che gli Organismi deputati al coordinamento e controllo potranno utilizzare per il</w:t>
      </w:r>
      <w:bookmarkStart w:id="31" w:name="_Toc72164212"/>
      <w:bookmarkEnd w:id="30"/>
      <w:r>
        <w:t xml:space="preserve"> </w:t>
      </w:r>
      <w:r w:rsidRPr="005A463E">
        <w:t>monitoraggio della consistenza e dell’efficacia dell’intervento.</w:t>
      </w:r>
      <w:bookmarkEnd w:id="31"/>
    </w:p>
    <w:p w14:paraId="5E008079" w14:textId="77777777" w:rsidR="003C3A07" w:rsidRDefault="003C3A07" w:rsidP="003C3A07">
      <w:bookmarkStart w:id="32" w:name="_Toc72164213"/>
      <w:r w:rsidRPr="005A463E">
        <w:t xml:space="preserve">L’ Amministrazione, all’atto </w:t>
      </w:r>
      <w:r>
        <w:t>della stipula</w:t>
      </w:r>
      <w:r w:rsidRPr="005A463E">
        <w:t xml:space="preserve">, deve necessariamente </w:t>
      </w:r>
      <w:r w:rsidRPr="005A463E">
        <w:rPr>
          <w:b/>
        </w:rPr>
        <w:t>associare almeno un Indicatore Generale</w:t>
      </w:r>
      <w:r w:rsidRPr="005A463E">
        <w:t xml:space="preserve"> per il quale fornire, agli Organismi di coordinamento e controllo e/o ai soggetti da questi indicati, le misure di riferimento ex ante ed ex post rispetto al contratto esecutivo.</w:t>
      </w:r>
      <w:bookmarkStart w:id="33" w:name="_Toc72164214"/>
      <w:bookmarkEnd w:id="32"/>
    </w:p>
    <w:p w14:paraId="544D8131" w14:textId="77777777" w:rsidR="003C3A07" w:rsidRPr="005A463E" w:rsidRDefault="003C3A07" w:rsidP="003C3A07">
      <w:r w:rsidRPr="005A463E">
        <w:t>Per quanto riguarda gli Indicatori Generali e Specifici di digitalizzazione utilizzabili e ferme restando le modalità di indicazione da parte delle Amministrazioni, si rimanda al Capitolato Tecnico Speciale.</w:t>
      </w:r>
      <w:bookmarkEnd w:id="33"/>
    </w:p>
    <w:p w14:paraId="1E47CF33" w14:textId="1777A375" w:rsidR="00477F23" w:rsidRPr="00281C64" w:rsidRDefault="00477F23" w:rsidP="00477F23">
      <w:pPr>
        <w:pStyle w:val="Titolo1"/>
        <w:ind w:left="360" w:hanging="360"/>
      </w:pPr>
      <w:r w:rsidRPr="00281C64">
        <w:t xml:space="preserve">Massimali e valori economici dell’Accordo Quadro e dei Contratti </w:t>
      </w:r>
      <w:bookmarkEnd w:id="22"/>
      <w:bookmarkEnd w:id="23"/>
      <w:r w:rsidRPr="00281C64">
        <w:t>Esecutivi</w:t>
      </w:r>
      <w:bookmarkEnd w:id="24"/>
      <w:bookmarkEnd w:id="25"/>
    </w:p>
    <w:p w14:paraId="43E49A10" w14:textId="4A440403" w:rsidR="00477F23" w:rsidRPr="00281C64" w:rsidRDefault="00477F23" w:rsidP="00477F23">
      <w:pPr>
        <w:spacing w:before="0"/>
        <w:ind w:right="142"/>
        <w:textAlignment w:val="baseline"/>
      </w:pPr>
      <w:r w:rsidRPr="00281C64">
        <w:t>Qualora, anteriormente alla scadenza del termine di durata dell'Accordo Quadro, anche eventualmente prorogata, in conseguenza di uno o più ordinativi effettuati da una o più Amministrazioni, si ecceda il valore stimato dell’Accordo Quadro, le Amministrazioni potranno emettere ulteriori ordinativi ma fino a una soglia massima del 20% in aumento del detto valore stimato, raggiunto il quale l’Accordo Quadro s’intenderà definitivamente giunto a scadenza. La regola sopra illustrata opera sul massimale dell’AQ stipulato con il Fornitore aggiudicatario.</w:t>
      </w:r>
    </w:p>
    <w:p w14:paraId="33F73D0B" w14:textId="77777777" w:rsidR="00477F23" w:rsidRPr="00281C64" w:rsidRDefault="00477F23" w:rsidP="00477F23">
      <w:pPr>
        <w:spacing w:before="0"/>
        <w:ind w:right="142"/>
        <w:textAlignment w:val="baseline"/>
      </w:pPr>
      <w:r w:rsidRPr="00281C64">
        <w:t xml:space="preserve">Sarà dunque possibile eccedere il valore massimo stimato dell’AQ fino alla soglia massima del 20%. </w:t>
      </w:r>
    </w:p>
    <w:p w14:paraId="7564686D" w14:textId="6D47A135" w:rsidR="006F7DFE" w:rsidRPr="00281C64" w:rsidRDefault="006F7DFE" w:rsidP="006F7DFE">
      <w:pPr>
        <w:spacing w:before="0"/>
        <w:ind w:right="142"/>
        <w:textAlignment w:val="baseline"/>
      </w:pPr>
      <w:bookmarkStart w:id="34" w:name="_Toc509327569"/>
      <w:bookmarkStart w:id="35" w:name="_Toc78442876"/>
      <w:r w:rsidRPr="00281C64">
        <w:t xml:space="preserve">Il valore massimo stimato del presente Accordo Quadro (Lotto 1), compresa l’eventuale estensione del 20%, </w:t>
      </w:r>
      <w:r w:rsidR="00281C64" w:rsidRPr="00281C64">
        <w:t>ed ulteriormente esteso del 50 % per effetto dell’art. 16-bis, comma 7, del D.L. 146/2021, convertito in legge 215/202, al</w:t>
      </w:r>
      <w:r w:rsidRPr="00281C64">
        <w:t xml:space="preserve"> netto di Iva e/o di altre imposte e contributi di legge è pari a </w:t>
      </w:r>
      <w:r w:rsidRPr="00281C64">
        <w:rPr>
          <w:b/>
        </w:rPr>
        <w:t xml:space="preserve">€ </w:t>
      </w:r>
      <w:r w:rsidR="00281C64" w:rsidRPr="00281C64">
        <w:rPr>
          <w:b/>
        </w:rPr>
        <w:t>702</w:t>
      </w:r>
      <w:r w:rsidRPr="00281C64">
        <w:rPr>
          <w:b/>
        </w:rPr>
        <w:t>.000.000,00 (</w:t>
      </w:r>
      <w:r w:rsidR="00281C64" w:rsidRPr="00281C64">
        <w:rPr>
          <w:b/>
        </w:rPr>
        <w:t>settecentodue</w:t>
      </w:r>
      <w:r w:rsidRPr="00281C64">
        <w:rPr>
          <w:b/>
        </w:rPr>
        <w:t xml:space="preserve"> milioni di Euro)</w:t>
      </w:r>
      <w:r w:rsidRPr="00281C64">
        <w:t>.</w:t>
      </w:r>
    </w:p>
    <w:p w14:paraId="75ED6A00" w14:textId="799DEE56" w:rsidR="00C87801" w:rsidRPr="00281C64" w:rsidRDefault="00C87801" w:rsidP="00C87801">
      <w:pPr>
        <w:spacing w:before="0"/>
        <w:ind w:right="142"/>
        <w:textAlignment w:val="baseline"/>
      </w:pPr>
      <w:r w:rsidRPr="00281C64">
        <w:lastRenderedPageBreak/>
        <w:t>Si richiede, in ogni caso, la collaborazione delle Amministrazioni per segnalare:</w:t>
      </w:r>
    </w:p>
    <w:p w14:paraId="2A773EB6" w14:textId="77777777" w:rsidR="00C87801" w:rsidRPr="00281C64" w:rsidRDefault="00C87801" w:rsidP="00C87801">
      <w:pPr>
        <w:pStyle w:val="Paragrafoelenco"/>
        <w:numPr>
          <w:ilvl w:val="0"/>
          <w:numId w:val="41"/>
        </w:numPr>
        <w:spacing w:before="0"/>
        <w:ind w:right="142"/>
        <w:textAlignment w:val="baseline"/>
      </w:pPr>
      <w:r w:rsidRPr="00281C64">
        <w:t xml:space="preserve">i casi di rinuncia agli ODA o mancata partecipazione agli AS, al fine di consentire a Consip di adottare le opportune azioni contrattualmente previste; </w:t>
      </w:r>
    </w:p>
    <w:p w14:paraId="3ACD5BB1" w14:textId="0D1544D1" w:rsidR="00C87801" w:rsidRPr="00281C64" w:rsidRDefault="00C87801" w:rsidP="00D9730C">
      <w:pPr>
        <w:pStyle w:val="Paragrafoelenco"/>
        <w:numPr>
          <w:ilvl w:val="0"/>
          <w:numId w:val="41"/>
        </w:numPr>
        <w:spacing w:before="0"/>
        <w:ind w:right="142"/>
        <w:textAlignment w:val="baseline"/>
      </w:pPr>
      <w:r w:rsidRPr="00281C64">
        <w:t xml:space="preserve">i casi di chiusura anticipata degli AS e/o di mancato utilizzo per accelerare i tempi di ricalcolo della quota di massimale ancora disponibile per nuovi e successivi appalti specifici. </w:t>
      </w:r>
    </w:p>
    <w:p w14:paraId="6AFAB360" w14:textId="7E4BB1C8" w:rsidR="00477F23" w:rsidRPr="00281C64" w:rsidRDefault="00477F23" w:rsidP="00477F23">
      <w:pPr>
        <w:pStyle w:val="Titolo1"/>
        <w:ind w:left="360" w:hanging="360"/>
      </w:pPr>
      <w:bookmarkStart w:id="36" w:name="_Toc99718072"/>
      <w:r w:rsidRPr="00281C64">
        <w:t>Servizi</w:t>
      </w:r>
      <w:bookmarkEnd w:id="34"/>
      <w:r w:rsidRPr="00281C64">
        <w:t xml:space="preserve"> oggetto dell’Accordo Quadro</w:t>
      </w:r>
      <w:bookmarkEnd w:id="35"/>
      <w:bookmarkEnd w:id="36"/>
    </w:p>
    <w:p w14:paraId="63973C07" w14:textId="3F0A4AC2" w:rsidR="00C87801" w:rsidRPr="00281C64" w:rsidRDefault="00477F23" w:rsidP="00C87801">
      <w:pPr>
        <w:spacing w:before="0"/>
        <w:ind w:right="142"/>
        <w:textAlignment w:val="baseline"/>
      </w:pPr>
      <w:bookmarkStart w:id="37" w:name="_Toc72164182"/>
      <w:bookmarkStart w:id="38" w:name="_Toc509327570"/>
      <w:r w:rsidRPr="00281C64">
        <w:t xml:space="preserve">I servizi oggetto della presente iniziativa </w:t>
      </w:r>
      <w:bookmarkStart w:id="39" w:name="_Toc72164184"/>
      <w:bookmarkEnd w:id="37"/>
      <w:r w:rsidR="00C87801" w:rsidRPr="00281C64">
        <w:t>riguardo servizi Public cloud qualificati secondo quanto stabilito nella Circolare n. 2 del 9 aprile 2018 “Criteri per la qualificazione dei Cloud Service Provider per la PA” e sue eventuali modifiche e integrazioni.</w:t>
      </w:r>
    </w:p>
    <w:p w14:paraId="24E54A64" w14:textId="17FDA8D5" w:rsidR="00477F23" w:rsidRPr="00281C64" w:rsidRDefault="00477F23" w:rsidP="00C87801">
      <w:pPr>
        <w:spacing w:before="0"/>
        <w:ind w:right="142"/>
        <w:textAlignment w:val="baseline"/>
      </w:pPr>
      <w:r w:rsidRPr="00281C64">
        <w:t>Nello specifico l’Accordo Quadro prevede i seguenti servizi:</w:t>
      </w:r>
      <w:bookmarkEnd w:id="39"/>
    </w:p>
    <w:p w14:paraId="13F7D054" w14:textId="55DF6B56" w:rsidR="00C87801" w:rsidRPr="00281C64" w:rsidRDefault="00C87801" w:rsidP="00C87801">
      <w:pPr>
        <w:pStyle w:val="Paragrafoelenco"/>
        <w:numPr>
          <w:ilvl w:val="0"/>
          <w:numId w:val="42"/>
        </w:numPr>
        <w:spacing w:before="0"/>
        <w:ind w:right="142"/>
        <w:textAlignment w:val="baseline"/>
      </w:pPr>
      <w:r w:rsidRPr="00281C64">
        <w:rPr>
          <w:b/>
        </w:rPr>
        <w:t>Servizi IaaS</w:t>
      </w:r>
      <w:r w:rsidRPr="00281C64">
        <w:t xml:space="preserve"> per la fruizione di risorse remote virtuali organizzati secondo le seguenti categorie:</w:t>
      </w:r>
    </w:p>
    <w:p w14:paraId="56723E54" w14:textId="1D1410D4" w:rsidR="00C87801" w:rsidRPr="00281C64" w:rsidRDefault="00C87801" w:rsidP="00C87801">
      <w:pPr>
        <w:pStyle w:val="Paragrafoelenco"/>
        <w:numPr>
          <w:ilvl w:val="0"/>
          <w:numId w:val="43"/>
        </w:numPr>
        <w:spacing w:before="0"/>
        <w:ind w:right="142"/>
        <w:textAlignment w:val="baseline"/>
      </w:pPr>
      <w:r w:rsidRPr="00281C64">
        <w:t>Categoria Compute;</w:t>
      </w:r>
    </w:p>
    <w:p w14:paraId="77CE11B3" w14:textId="27680551" w:rsidR="00C87801" w:rsidRPr="00281C64" w:rsidRDefault="00C87801" w:rsidP="00C87801">
      <w:pPr>
        <w:pStyle w:val="Paragrafoelenco"/>
        <w:numPr>
          <w:ilvl w:val="0"/>
          <w:numId w:val="43"/>
        </w:numPr>
        <w:spacing w:before="0"/>
        <w:ind w:right="142"/>
        <w:textAlignment w:val="baseline"/>
      </w:pPr>
      <w:r w:rsidRPr="00281C64">
        <w:t>Categoria Storage;</w:t>
      </w:r>
    </w:p>
    <w:p w14:paraId="378A0387" w14:textId="7697BE2C" w:rsidR="00C87801" w:rsidRPr="00281C64" w:rsidRDefault="00C87801" w:rsidP="00C87801">
      <w:pPr>
        <w:pStyle w:val="Paragrafoelenco"/>
        <w:numPr>
          <w:ilvl w:val="0"/>
          <w:numId w:val="43"/>
        </w:numPr>
        <w:spacing w:before="0"/>
        <w:ind w:right="142"/>
        <w:textAlignment w:val="baseline"/>
      </w:pPr>
      <w:r w:rsidRPr="00281C64">
        <w:t>Categoria Network;</w:t>
      </w:r>
    </w:p>
    <w:p w14:paraId="44B6237D" w14:textId="1B7DDBD2" w:rsidR="00C87801" w:rsidRPr="00281C64" w:rsidRDefault="00C87801" w:rsidP="00C87801">
      <w:pPr>
        <w:pStyle w:val="Paragrafoelenco"/>
        <w:numPr>
          <w:ilvl w:val="0"/>
          <w:numId w:val="43"/>
        </w:numPr>
        <w:spacing w:before="0"/>
        <w:ind w:right="142"/>
        <w:textAlignment w:val="baseline"/>
      </w:pPr>
      <w:r w:rsidRPr="00281C64">
        <w:t>Categoria Security;</w:t>
      </w:r>
    </w:p>
    <w:p w14:paraId="78749CA5" w14:textId="39E882F8" w:rsidR="00C87801" w:rsidRPr="00281C64" w:rsidRDefault="00C87801" w:rsidP="00C87801">
      <w:pPr>
        <w:pStyle w:val="Paragrafoelenco"/>
        <w:numPr>
          <w:ilvl w:val="0"/>
          <w:numId w:val="43"/>
        </w:numPr>
        <w:spacing w:before="0"/>
        <w:ind w:right="142"/>
        <w:textAlignment w:val="baseline"/>
      </w:pPr>
      <w:r w:rsidRPr="00281C64">
        <w:t>Categoria Monitoring;</w:t>
      </w:r>
    </w:p>
    <w:p w14:paraId="4BBAA5A3" w14:textId="4B39A3D1" w:rsidR="00C87801" w:rsidRPr="00281C64" w:rsidRDefault="00C87801" w:rsidP="00C87801">
      <w:pPr>
        <w:pStyle w:val="Paragrafoelenco"/>
        <w:numPr>
          <w:ilvl w:val="0"/>
          <w:numId w:val="42"/>
        </w:numPr>
        <w:spacing w:before="0"/>
        <w:ind w:right="142"/>
        <w:textAlignment w:val="baseline"/>
      </w:pPr>
      <w:r w:rsidRPr="00281C64">
        <w:rPr>
          <w:b/>
        </w:rPr>
        <w:t>Servizi PaaS</w:t>
      </w:r>
      <w:r w:rsidRPr="00281C64">
        <w:t xml:space="preserve"> per l’erogazione di servizi middleware per lo sviluppo, collaudo ed esercizio di applicazioni:</w:t>
      </w:r>
    </w:p>
    <w:p w14:paraId="22723987" w14:textId="522195A4" w:rsidR="00F37A17" w:rsidRPr="00281C64" w:rsidRDefault="00F37A17" w:rsidP="00F37A17">
      <w:pPr>
        <w:pStyle w:val="Paragrafoelenco"/>
        <w:numPr>
          <w:ilvl w:val="0"/>
          <w:numId w:val="43"/>
        </w:numPr>
        <w:spacing w:before="0"/>
        <w:ind w:right="142"/>
        <w:textAlignment w:val="baseline"/>
      </w:pPr>
      <w:r w:rsidRPr="00281C64">
        <w:t>Categoria Containers;</w:t>
      </w:r>
    </w:p>
    <w:p w14:paraId="1315AC5D" w14:textId="1D79B01E" w:rsidR="00F37A17" w:rsidRPr="00281C64" w:rsidRDefault="00F37A17" w:rsidP="00F37A17">
      <w:pPr>
        <w:pStyle w:val="Paragrafoelenco"/>
        <w:numPr>
          <w:ilvl w:val="0"/>
          <w:numId w:val="43"/>
        </w:numPr>
        <w:spacing w:before="0"/>
        <w:ind w:right="142"/>
        <w:textAlignment w:val="baseline"/>
      </w:pPr>
      <w:r w:rsidRPr="00281C64">
        <w:t>Categoria Database;</w:t>
      </w:r>
    </w:p>
    <w:p w14:paraId="418227BA" w14:textId="0E069CAF" w:rsidR="00F37A17" w:rsidRPr="00281C64" w:rsidRDefault="00F37A17" w:rsidP="00F37A17">
      <w:pPr>
        <w:pStyle w:val="Paragrafoelenco"/>
        <w:numPr>
          <w:ilvl w:val="0"/>
          <w:numId w:val="43"/>
        </w:numPr>
        <w:spacing w:before="0"/>
        <w:ind w:right="142"/>
        <w:textAlignment w:val="baseline"/>
      </w:pPr>
      <w:r w:rsidRPr="00281C64">
        <w:t>Categoria Developer Tools;</w:t>
      </w:r>
    </w:p>
    <w:p w14:paraId="393AF066" w14:textId="4282D154" w:rsidR="00F37A17" w:rsidRPr="00281C64" w:rsidRDefault="00F37A17" w:rsidP="00F37A17">
      <w:pPr>
        <w:pStyle w:val="Paragrafoelenco"/>
        <w:numPr>
          <w:ilvl w:val="0"/>
          <w:numId w:val="43"/>
        </w:numPr>
        <w:spacing w:before="0"/>
        <w:ind w:right="142"/>
        <w:textAlignment w:val="baseline"/>
      </w:pPr>
      <w:r w:rsidRPr="00281C64">
        <w:t>Categoria Application Platform;</w:t>
      </w:r>
    </w:p>
    <w:p w14:paraId="1BE6D1B0" w14:textId="65356D2A" w:rsidR="00C87801" w:rsidRPr="00281C64" w:rsidRDefault="00C87801" w:rsidP="00F37A17">
      <w:pPr>
        <w:spacing w:before="0"/>
        <w:ind w:right="142"/>
        <w:textAlignment w:val="baseline"/>
      </w:pPr>
    </w:p>
    <w:p w14:paraId="24ED0E11" w14:textId="53C257B5" w:rsidR="00477F23" w:rsidRPr="00281C64" w:rsidRDefault="00477F23" w:rsidP="00F27A47">
      <w:pPr>
        <w:keepNext/>
        <w:keepLines/>
        <w:numPr>
          <w:ilvl w:val="0"/>
          <w:numId w:val="2"/>
        </w:numPr>
        <w:tabs>
          <w:tab w:val="left" w:pos="709"/>
        </w:tabs>
        <w:spacing w:before="480" w:after="0"/>
        <w:ind w:left="993" w:hanging="993"/>
        <w:outlineLvl w:val="0"/>
        <w:rPr>
          <w:rFonts w:ascii="Titillium Web" w:hAnsi="Titillium Web"/>
          <w:b/>
          <w:bCs/>
          <w:color w:val="821B4C"/>
          <w:sz w:val="40"/>
          <w:szCs w:val="28"/>
        </w:rPr>
      </w:pPr>
      <w:bookmarkStart w:id="40" w:name="_Toc509327574"/>
      <w:bookmarkStart w:id="41" w:name="_Toc78442880"/>
      <w:bookmarkStart w:id="42" w:name="_Toc99718073"/>
      <w:bookmarkEnd w:id="38"/>
      <w:r w:rsidRPr="00281C64">
        <w:rPr>
          <w:rFonts w:ascii="Titillium Web" w:hAnsi="Titillium Web"/>
          <w:b/>
          <w:bCs/>
          <w:color w:val="821B4C"/>
          <w:sz w:val="40"/>
          <w:szCs w:val="28"/>
        </w:rPr>
        <w:t>Modalità di fornitura</w:t>
      </w:r>
      <w:bookmarkEnd w:id="40"/>
      <w:bookmarkEnd w:id="41"/>
      <w:bookmarkEnd w:id="42"/>
    </w:p>
    <w:p w14:paraId="1B389508" w14:textId="4E7DCEF0" w:rsidR="00477F23" w:rsidRPr="00281C64" w:rsidRDefault="00477F23" w:rsidP="00477F23">
      <w:bookmarkStart w:id="43" w:name="_Toc78278201"/>
      <w:bookmarkStart w:id="44" w:name="_Toc78278531"/>
      <w:bookmarkStart w:id="45" w:name="_Toc78278202"/>
      <w:bookmarkStart w:id="46" w:name="_Toc78278532"/>
      <w:bookmarkStart w:id="47" w:name="_Toc78278203"/>
      <w:bookmarkStart w:id="48" w:name="_Toc78278533"/>
      <w:bookmarkStart w:id="49" w:name="_Toc72164216"/>
      <w:bookmarkEnd w:id="43"/>
      <w:bookmarkEnd w:id="44"/>
      <w:bookmarkEnd w:id="45"/>
      <w:bookmarkEnd w:id="46"/>
      <w:bookmarkEnd w:id="47"/>
      <w:bookmarkEnd w:id="48"/>
      <w:r w:rsidRPr="00281C64">
        <w:t>Il Fornitore, entro 10 giorni lavorativi dalla firma del Contratto Esecutivo, deve consegnare all’Amministrazione il Piano di lavoro generale, riportante la pianificazione di dettaglio di tutte le attività ed i servizi ricompresi e in conformità con il Contratto Esecutivo.</w:t>
      </w:r>
      <w:bookmarkEnd w:id="49"/>
    </w:p>
    <w:p w14:paraId="64BA0FEC" w14:textId="0EAC86CD" w:rsidR="00477F23" w:rsidRPr="00281C64" w:rsidRDefault="00477F23" w:rsidP="00F27A47">
      <w:pPr>
        <w:keepNext/>
        <w:keepLines/>
        <w:numPr>
          <w:ilvl w:val="0"/>
          <w:numId w:val="2"/>
        </w:numPr>
        <w:tabs>
          <w:tab w:val="left" w:pos="709"/>
        </w:tabs>
        <w:spacing w:before="480" w:after="0"/>
        <w:ind w:left="993" w:hanging="993"/>
        <w:outlineLvl w:val="0"/>
        <w:rPr>
          <w:rFonts w:ascii="Titillium Web" w:hAnsi="Titillium Web"/>
          <w:b/>
          <w:bCs/>
          <w:color w:val="821B4C"/>
          <w:sz w:val="40"/>
          <w:szCs w:val="28"/>
        </w:rPr>
      </w:pPr>
      <w:bookmarkStart w:id="50" w:name="_Toc509327582"/>
      <w:bookmarkStart w:id="51" w:name="_Toc78442883"/>
      <w:bookmarkStart w:id="52" w:name="_Toc99718074"/>
      <w:r w:rsidRPr="00281C64">
        <w:rPr>
          <w:rFonts w:ascii="Titillium Web" w:hAnsi="Titillium Web"/>
          <w:b/>
          <w:bCs/>
          <w:color w:val="821B4C"/>
          <w:sz w:val="40"/>
          <w:szCs w:val="28"/>
        </w:rPr>
        <w:lastRenderedPageBreak/>
        <w:t>Condizioni economiche</w:t>
      </w:r>
      <w:bookmarkEnd w:id="50"/>
      <w:bookmarkEnd w:id="51"/>
      <w:bookmarkEnd w:id="52"/>
    </w:p>
    <w:p w14:paraId="5101BD88" w14:textId="77777777" w:rsidR="00477F23" w:rsidRPr="00281C64" w:rsidRDefault="00477F23" w:rsidP="00F27A47">
      <w:pPr>
        <w:keepNext/>
        <w:keepLines/>
        <w:numPr>
          <w:ilvl w:val="1"/>
          <w:numId w:val="2"/>
        </w:numPr>
        <w:tabs>
          <w:tab w:val="left" w:pos="709"/>
        </w:tabs>
        <w:spacing w:after="0" w:line="360" w:lineRule="auto"/>
        <w:ind w:left="993" w:hanging="993"/>
        <w:outlineLvl w:val="1"/>
        <w:rPr>
          <w:rFonts w:ascii="Titillium Web" w:hAnsi="Titillium Web"/>
          <w:b/>
          <w:bCs/>
          <w:sz w:val="32"/>
          <w:szCs w:val="26"/>
        </w:rPr>
      </w:pPr>
      <w:bookmarkStart w:id="53" w:name="_Toc509327583"/>
      <w:bookmarkStart w:id="54" w:name="_Toc78442884"/>
      <w:bookmarkStart w:id="55" w:name="_Toc99718075"/>
      <w:r w:rsidRPr="00281C64">
        <w:rPr>
          <w:rFonts w:ascii="Titillium Web" w:hAnsi="Titillium Web"/>
          <w:b/>
          <w:bCs/>
          <w:sz w:val="32"/>
          <w:szCs w:val="26"/>
        </w:rPr>
        <w:t>Corrispettivi</w:t>
      </w:r>
      <w:bookmarkEnd w:id="53"/>
      <w:bookmarkEnd w:id="54"/>
      <w:bookmarkEnd w:id="55"/>
    </w:p>
    <w:p w14:paraId="4AD0DA5B" w14:textId="088E3569" w:rsidR="00477F23" w:rsidRPr="00281C64" w:rsidRDefault="00477F23" w:rsidP="00477F23">
      <w:bookmarkStart w:id="56" w:name="_Toc72164219"/>
      <w:r w:rsidRPr="00281C64">
        <w:t xml:space="preserve">I corrispettivi per i servizi previsti </w:t>
      </w:r>
      <w:r w:rsidR="00BD0F74" w:rsidRPr="00281C64">
        <w:t>dall’Accordo Quadro</w:t>
      </w:r>
      <w:r w:rsidRPr="00281C64">
        <w:t xml:space="preserve"> sono riportati nell’allegato Tariffe e Corrispettivi presenti sul portale nella sezione relativa alla documentazione dell’iniziativa Accordo Quadro &gt; </w:t>
      </w:r>
      <w:r w:rsidR="00453CAB" w:rsidRPr="00281C64">
        <w:t>Public Cloud</w:t>
      </w:r>
      <w:r w:rsidR="00C21E0E" w:rsidRPr="00281C64">
        <w:t xml:space="preserve"> IaaS e PaaS -&gt; Appalto Specifico -</w:t>
      </w:r>
      <w:r w:rsidR="008F2D4C" w:rsidRPr="00281C64">
        <w:t>&gt; Lotto 1</w:t>
      </w:r>
      <w:r w:rsidRPr="00281C64">
        <w:t>.</w:t>
      </w:r>
      <w:bookmarkEnd w:id="56"/>
    </w:p>
    <w:p w14:paraId="4955A7A1" w14:textId="77777777" w:rsidR="00477F23" w:rsidRPr="00281C64" w:rsidRDefault="00477F23" w:rsidP="00F27A47">
      <w:pPr>
        <w:keepNext/>
        <w:keepLines/>
        <w:numPr>
          <w:ilvl w:val="1"/>
          <w:numId w:val="2"/>
        </w:numPr>
        <w:tabs>
          <w:tab w:val="left" w:pos="709"/>
        </w:tabs>
        <w:spacing w:after="0" w:line="360" w:lineRule="auto"/>
        <w:ind w:left="993" w:hanging="993"/>
        <w:outlineLvl w:val="1"/>
        <w:rPr>
          <w:rFonts w:ascii="Titillium Web" w:hAnsi="Titillium Web"/>
          <w:b/>
          <w:bCs/>
          <w:sz w:val="32"/>
          <w:szCs w:val="26"/>
        </w:rPr>
      </w:pPr>
      <w:bookmarkStart w:id="57" w:name="_Toc509327585"/>
      <w:bookmarkStart w:id="58" w:name="_Toc78442885"/>
      <w:bookmarkStart w:id="59" w:name="_Toc99718076"/>
      <w:r w:rsidRPr="00281C64">
        <w:rPr>
          <w:rFonts w:ascii="Titillium Web" w:hAnsi="Titillium Web"/>
          <w:b/>
          <w:bCs/>
          <w:sz w:val="32"/>
          <w:szCs w:val="26"/>
        </w:rPr>
        <w:t>Procedura di applicazione delle penali</w:t>
      </w:r>
      <w:bookmarkEnd w:id="57"/>
      <w:bookmarkEnd w:id="58"/>
      <w:bookmarkEnd w:id="59"/>
    </w:p>
    <w:p w14:paraId="760CABC5" w14:textId="77777777" w:rsidR="00477F23" w:rsidRPr="00281C64" w:rsidRDefault="00477F23" w:rsidP="00477F23">
      <w:r w:rsidRPr="00281C64">
        <w:t>Le fasi operative del procedimento relativo all’applicazione delle penali sono:</w:t>
      </w:r>
    </w:p>
    <w:p w14:paraId="5F268E10" w14:textId="77777777" w:rsidR="00477F23" w:rsidRPr="00281C64" w:rsidRDefault="00477F23" w:rsidP="00F27A47">
      <w:pPr>
        <w:keepNext/>
        <w:keepLines/>
        <w:numPr>
          <w:ilvl w:val="2"/>
          <w:numId w:val="2"/>
        </w:numPr>
        <w:tabs>
          <w:tab w:val="left" w:pos="709"/>
        </w:tabs>
        <w:spacing w:after="0" w:line="240" w:lineRule="auto"/>
        <w:ind w:left="709" w:hanging="709"/>
        <w:outlineLvl w:val="2"/>
        <w:rPr>
          <w:rFonts w:ascii="Titillium Web" w:hAnsi="Titillium Web"/>
          <w:b/>
          <w:bCs/>
          <w:sz w:val="24"/>
          <w:szCs w:val="24"/>
        </w:rPr>
      </w:pPr>
      <w:bookmarkStart w:id="60" w:name="_Toc509327586"/>
      <w:bookmarkStart w:id="61" w:name="_Toc78442886"/>
      <w:bookmarkStart w:id="62" w:name="_Toc99718077"/>
      <w:r w:rsidRPr="00281C64">
        <w:rPr>
          <w:rFonts w:ascii="Titillium Web" w:hAnsi="Titillium Web"/>
          <w:b/>
          <w:bCs/>
          <w:sz w:val="24"/>
          <w:szCs w:val="24"/>
        </w:rPr>
        <w:t>Rilevamento del presunto inadempimento compiuto dal Fornitore</w:t>
      </w:r>
      <w:bookmarkEnd w:id="60"/>
      <w:bookmarkEnd w:id="61"/>
      <w:bookmarkEnd w:id="62"/>
    </w:p>
    <w:p w14:paraId="6524F26C" w14:textId="77777777" w:rsidR="00477F23" w:rsidRPr="00281C64" w:rsidRDefault="00477F23" w:rsidP="00477F23">
      <w:r w:rsidRPr="00281C64">
        <w:t>L’Amministrazione Contraente individua e verifica eventuali inadempimenti da parte del Fornitore rispetto agli obblighi contrattualmente assunti con la sottoscrizione dell’Accordo Quadro.</w:t>
      </w:r>
    </w:p>
    <w:p w14:paraId="4BCE5DF9" w14:textId="1F88238C" w:rsidR="00477F23" w:rsidRPr="00281C64" w:rsidRDefault="00F81DB3" w:rsidP="00F81DB3">
      <w:r w:rsidRPr="00281C64">
        <w:t>Per dettagli rispetto al</w:t>
      </w:r>
      <w:r w:rsidR="00477F23" w:rsidRPr="00281C64">
        <w:t xml:space="preserve">le penali applicabili si rinvia al </w:t>
      </w:r>
      <w:r w:rsidR="00453CAB" w:rsidRPr="00281C64">
        <w:t>documento “</w:t>
      </w:r>
      <w:r w:rsidRPr="00281C64">
        <w:t xml:space="preserve">Appendice 1 al CT Speciale Lotti 2-6 - Indicatori di qualità” </w:t>
      </w:r>
      <w:r w:rsidR="00477F23" w:rsidRPr="00281C64">
        <w:t>contenente le previste penali in funzione dei singoli Indicatori di Qualità e relativi livelli di servizio.</w:t>
      </w:r>
      <w:r w:rsidRPr="00281C64">
        <w:t xml:space="preserve"> </w:t>
      </w:r>
    </w:p>
    <w:p w14:paraId="46F7FDC9" w14:textId="77777777" w:rsidR="00477F23" w:rsidRPr="00281C64" w:rsidRDefault="00477F23" w:rsidP="00F27A47">
      <w:pPr>
        <w:keepNext/>
        <w:keepLines/>
        <w:numPr>
          <w:ilvl w:val="2"/>
          <w:numId w:val="2"/>
        </w:numPr>
        <w:tabs>
          <w:tab w:val="left" w:pos="709"/>
        </w:tabs>
        <w:spacing w:after="0" w:line="240" w:lineRule="auto"/>
        <w:ind w:left="709" w:hanging="709"/>
        <w:outlineLvl w:val="2"/>
        <w:rPr>
          <w:rFonts w:ascii="Titillium Web" w:hAnsi="Titillium Web"/>
          <w:b/>
          <w:bCs/>
          <w:sz w:val="24"/>
          <w:szCs w:val="24"/>
        </w:rPr>
      </w:pPr>
      <w:bookmarkStart w:id="63" w:name="_Toc509327587"/>
      <w:bookmarkStart w:id="64" w:name="_Toc78442887"/>
      <w:bookmarkStart w:id="65" w:name="_Toc99718078"/>
      <w:r w:rsidRPr="00281C64">
        <w:rPr>
          <w:rFonts w:ascii="Titillium Web" w:hAnsi="Titillium Web"/>
          <w:b/>
          <w:bCs/>
          <w:sz w:val="24"/>
          <w:szCs w:val="24"/>
        </w:rPr>
        <w:t>Contestazione al Fornitore</w:t>
      </w:r>
      <w:bookmarkEnd w:id="63"/>
      <w:bookmarkEnd w:id="64"/>
      <w:bookmarkEnd w:id="65"/>
      <w:r w:rsidRPr="00281C64">
        <w:rPr>
          <w:rFonts w:ascii="Titillium Web" w:hAnsi="Titillium Web"/>
          <w:b/>
          <w:bCs/>
          <w:sz w:val="24"/>
          <w:szCs w:val="24"/>
        </w:rPr>
        <w:tab/>
      </w:r>
    </w:p>
    <w:p w14:paraId="32CFEA2D" w14:textId="77777777" w:rsidR="00477F23" w:rsidRPr="00281C64" w:rsidRDefault="00477F23" w:rsidP="00477F23">
      <w:r w:rsidRPr="00281C64">
        <w:t>La contestazione dell’inadempimento al Fornitore deve avvenire in forma scritta e riportare i riferimenti contrattuali con la descrizione dell’inadempimento.</w:t>
      </w:r>
    </w:p>
    <w:p w14:paraId="6D57983C" w14:textId="77777777" w:rsidR="00477F23" w:rsidRPr="00281C64" w:rsidRDefault="00477F23" w:rsidP="00477F23">
      <w:r w:rsidRPr="00281C64">
        <w:t>La contestazione deve contenere anche il calcolo economico della penale.</w:t>
      </w:r>
    </w:p>
    <w:p w14:paraId="54783879" w14:textId="77777777" w:rsidR="00477F23" w:rsidRPr="00281C64" w:rsidRDefault="00477F23" w:rsidP="00477F23">
      <w:r w:rsidRPr="00281C64">
        <w:t>La comunicazione di contestazione dell’inadempimento da parte dell’Amministrazione Contraente deve essere indirizzata in copia conoscenza a Consip S.p.A., in base a quanto prescritto nelle Condizioni Generali.</w:t>
      </w:r>
    </w:p>
    <w:p w14:paraId="231B4B68" w14:textId="77777777" w:rsidR="00477F23" w:rsidRPr="00281C64" w:rsidRDefault="00477F23" w:rsidP="00F27A47">
      <w:pPr>
        <w:keepNext/>
        <w:keepLines/>
        <w:numPr>
          <w:ilvl w:val="2"/>
          <w:numId w:val="2"/>
        </w:numPr>
        <w:tabs>
          <w:tab w:val="left" w:pos="709"/>
        </w:tabs>
        <w:spacing w:after="0" w:line="240" w:lineRule="auto"/>
        <w:ind w:left="709" w:hanging="709"/>
        <w:outlineLvl w:val="2"/>
        <w:rPr>
          <w:rFonts w:ascii="Titillium Web" w:hAnsi="Titillium Web"/>
          <w:b/>
          <w:bCs/>
          <w:sz w:val="24"/>
          <w:szCs w:val="24"/>
        </w:rPr>
      </w:pPr>
      <w:bookmarkStart w:id="66" w:name="_Toc509327588"/>
      <w:bookmarkStart w:id="67" w:name="_Toc78442888"/>
      <w:bookmarkStart w:id="68" w:name="_Toc99718079"/>
      <w:r w:rsidRPr="00281C64">
        <w:rPr>
          <w:rFonts w:ascii="Titillium Web" w:hAnsi="Titillium Web"/>
          <w:b/>
          <w:bCs/>
          <w:sz w:val="24"/>
          <w:szCs w:val="24"/>
        </w:rPr>
        <w:t>Controdeduzioni del Fornitore</w:t>
      </w:r>
      <w:bookmarkEnd w:id="66"/>
      <w:bookmarkEnd w:id="67"/>
      <w:bookmarkEnd w:id="68"/>
    </w:p>
    <w:p w14:paraId="69289943" w14:textId="77777777" w:rsidR="00477F23" w:rsidRPr="00281C64" w:rsidRDefault="00477F23" w:rsidP="00477F23">
      <w:r w:rsidRPr="00281C64">
        <w:t xml:space="preserve">Il Fornitore dovrà comunicare, in ogni caso, per iscritto, le proprie deduzioni, supportate da una chiara ed esauriente documentazione, nel termine massimo di n. 5 (cinque) giorni lavorativi dalla ricezione della contestazione stessa. </w:t>
      </w:r>
    </w:p>
    <w:p w14:paraId="558CA04A" w14:textId="77777777" w:rsidR="00477F23" w:rsidRPr="00281C64" w:rsidRDefault="00477F23" w:rsidP="00F27A47">
      <w:pPr>
        <w:keepNext/>
        <w:keepLines/>
        <w:numPr>
          <w:ilvl w:val="2"/>
          <w:numId w:val="2"/>
        </w:numPr>
        <w:tabs>
          <w:tab w:val="left" w:pos="709"/>
        </w:tabs>
        <w:spacing w:after="0" w:line="240" w:lineRule="auto"/>
        <w:ind w:left="709" w:hanging="709"/>
        <w:outlineLvl w:val="2"/>
        <w:rPr>
          <w:rFonts w:ascii="Titillium Web" w:hAnsi="Titillium Web"/>
          <w:b/>
          <w:bCs/>
          <w:sz w:val="24"/>
          <w:szCs w:val="24"/>
        </w:rPr>
      </w:pPr>
      <w:bookmarkStart w:id="69" w:name="_Toc509327589"/>
      <w:bookmarkStart w:id="70" w:name="_Toc78442889"/>
      <w:bookmarkStart w:id="71" w:name="_Toc99718080"/>
      <w:r w:rsidRPr="00281C64">
        <w:rPr>
          <w:rFonts w:ascii="Titillium Web" w:hAnsi="Titillium Web"/>
          <w:b/>
          <w:bCs/>
          <w:sz w:val="24"/>
          <w:szCs w:val="24"/>
        </w:rPr>
        <w:lastRenderedPageBreak/>
        <w:t>Accertamento della sussistenza/insussistenza delle condizioni di applicazione delle penali e quantificazione delle stesse</w:t>
      </w:r>
      <w:bookmarkEnd w:id="69"/>
      <w:bookmarkEnd w:id="70"/>
      <w:bookmarkEnd w:id="71"/>
    </w:p>
    <w:p w14:paraId="0EEE27E1" w14:textId="77777777" w:rsidR="00477F23" w:rsidRPr="00281C64" w:rsidRDefault="00477F23" w:rsidP="00477F23">
      <w:r w:rsidRPr="00281C64">
        <w:t xml:space="preserve">Qualora le controdeduzioni non pervengano all’Amministrazione Contraente nel termine indicato, ovvero, pur essendo pervenute tempestivamente, non siano ritenute idonee dall’Amministrazione a giustificare l’inadempienza contestata, l’Amministrazione stessa dovrà comunicare per iscritto al Fornitore la ritenuta infondatezza delle suddette deduzioni e la conseguente applicazione delle penali stabilite nell’Accordo Quadro, a decorrere dall’inizio dell’inadempimento. </w:t>
      </w:r>
    </w:p>
    <w:p w14:paraId="617C92EA" w14:textId="77777777" w:rsidR="00477F23" w:rsidRPr="00281C64" w:rsidRDefault="00477F23" w:rsidP="00477F23">
      <w:pPr>
        <w:spacing w:before="0" w:after="0" w:line="240" w:lineRule="auto"/>
      </w:pPr>
      <w:r w:rsidRPr="00281C64">
        <w:t>Qualora, invece, le controdeduzioni del Fornitore siano ritenute idonee, l’Amministrazione dovrà provvedere a comunicare per iscritto al Fornitore medesimo la non applicazione delle penali.</w:t>
      </w:r>
    </w:p>
    <w:p w14:paraId="031D1359" w14:textId="77777777" w:rsidR="00477F23" w:rsidRPr="00281C64" w:rsidRDefault="00477F23" w:rsidP="00477F23">
      <w:pPr>
        <w:spacing w:before="0" w:after="0" w:line="240" w:lineRule="auto"/>
        <w:jc w:val="left"/>
      </w:pPr>
    </w:p>
    <w:p w14:paraId="0D7BE5DF" w14:textId="77777777" w:rsidR="00477F23" w:rsidRPr="00281C64" w:rsidRDefault="00477F23" w:rsidP="00477F23">
      <w:r w:rsidRPr="00281C64">
        <w:t>Le singole Amministrazioni potranno compensare i crediti derivanti dall’applicazione delle penali di cui all’Accordo Quadro con quanto dovuto al Fornitore a qualsiasi titolo, quindi anche con i corrispettivi maturati, ovvero avvalersi della garanzia disciplinata nell’Accordo Quadro, senza bisogno di diffida, ulteriore accertamento o procedimento giudiziario.</w:t>
      </w:r>
    </w:p>
    <w:p w14:paraId="652E59C1" w14:textId="77777777" w:rsidR="00477F23" w:rsidRPr="00281C64" w:rsidRDefault="00477F23" w:rsidP="00477F23">
      <w:r w:rsidRPr="00281C64">
        <w:t>Resta ferma la possibilità per il Fornitore di comunicare tempestivamente all’Amministrazione la propria volontà di rimettere direttamente l’importo delle penali tramite Bonifico Bancario su conto corrente (o postale) intestato all’Amministrazione e da questa indicato.</w:t>
      </w:r>
    </w:p>
    <w:p w14:paraId="3E36255E" w14:textId="77777777" w:rsidR="00477F23" w:rsidRPr="00281C64" w:rsidRDefault="00477F23" w:rsidP="00477F23">
      <w:r w:rsidRPr="00281C64">
        <w:t>In fase di applicazione delle penali occorre tener presente il limite legale previsto per l’ammontare complessivo delle stesse (la somma di tutte le penali da applicare). Le Condizioni Generali individuano il limite complessivo massimo pari al 10% (dieci per cento) dell’ammontare del contratto esecutivo.</w:t>
      </w:r>
    </w:p>
    <w:p w14:paraId="3E446256" w14:textId="77777777" w:rsidR="00477F23" w:rsidRPr="00281C64" w:rsidRDefault="00477F23" w:rsidP="00477F23">
      <w:r w:rsidRPr="00281C64">
        <w:t>In ogni caso, l’applicazione della penale non esonera il Fornitore dall’adempimento contrattuale.</w:t>
      </w:r>
      <w:r w:rsidRPr="00281C64">
        <w:br/>
      </w:r>
    </w:p>
    <w:p w14:paraId="7D7CD1CB" w14:textId="12F79379" w:rsidR="00F81DB3" w:rsidRPr="00281C64" w:rsidRDefault="00477F23" w:rsidP="00F81DB3">
      <w:pPr>
        <w:pStyle w:val="Titolo3"/>
      </w:pPr>
      <w:bookmarkStart w:id="72" w:name="_Toc78442890"/>
      <w:bookmarkStart w:id="73" w:name="_Toc99718081"/>
      <w:r w:rsidRPr="00281C64">
        <w:t>Ulteriori tutele</w:t>
      </w:r>
      <w:bookmarkEnd w:id="72"/>
      <w:bookmarkEnd w:id="73"/>
    </w:p>
    <w:p w14:paraId="43D5EE8D" w14:textId="77777777" w:rsidR="00477F23" w:rsidRPr="00281C64" w:rsidRDefault="00477F23" w:rsidP="00F27A47">
      <w:pPr>
        <w:pStyle w:val="ElencoLiv1"/>
        <w:numPr>
          <w:ilvl w:val="0"/>
          <w:numId w:val="6"/>
        </w:numPr>
        <w:jc w:val="both"/>
      </w:pPr>
      <w:r w:rsidRPr="00281C64">
        <w:rPr>
          <w:b/>
        </w:rPr>
        <w:t>Risarcimento del maggior danno</w:t>
      </w:r>
    </w:p>
    <w:p w14:paraId="012D6C32" w14:textId="77777777" w:rsidR="00477F23" w:rsidRPr="00281C64" w:rsidRDefault="00477F23" w:rsidP="00477F23">
      <w:pPr>
        <w:pStyle w:val="ElencoLiv1"/>
        <w:numPr>
          <w:ilvl w:val="0"/>
          <w:numId w:val="0"/>
        </w:numPr>
        <w:ind w:left="930"/>
        <w:jc w:val="both"/>
      </w:pPr>
      <w:r w:rsidRPr="00281C64">
        <w:t>L’applicazione delle penali previste nell’Accordo Quadro non preclude il diritto delle singole Amministrazioni Contraenti di richiedere il risarcimento degli eventuali maggiori danni subiti.</w:t>
      </w:r>
    </w:p>
    <w:p w14:paraId="469C6CE4" w14:textId="77777777" w:rsidR="00477F23" w:rsidRPr="00281C64" w:rsidRDefault="00477F23" w:rsidP="00F27A47">
      <w:pPr>
        <w:pStyle w:val="ElencoLiv1"/>
        <w:numPr>
          <w:ilvl w:val="0"/>
          <w:numId w:val="6"/>
        </w:numPr>
        <w:jc w:val="both"/>
      </w:pPr>
      <w:r w:rsidRPr="00281C64">
        <w:rPr>
          <w:b/>
        </w:rPr>
        <w:t>Risoluzione del contratto</w:t>
      </w:r>
    </w:p>
    <w:p w14:paraId="7A0A3F8B" w14:textId="77777777" w:rsidR="00477F23" w:rsidRPr="00281C64" w:rsidRDefault="00477F23" w:rsidP="00477F23">
      <w:pPr>
        <w:pStyle w:val="ElencoLiv1"/>
        <w:numPr>
          <w:ilvl w:val="0"/>
          <w:numId w:val="0"/>
        </w:numPr>
        <w:ind w:left="930"/>
        <w:jc w:val="both"/>
      </w:pPr>
      <w:r w:rsidRPr="00281C64">
        <w:t>Le Amministrazioni Contraenti, per quanto di proprio interesse, potranno risolvere di diritto il contratto anche nel caso in cui il Fornitore avesse accumulato penali per un importo pari o superiore alla misura massima del 10% (dieci per cento) del valore del proprio contratto esecutivo (Condizioni Generali).</w:t>
      </w:r>
    </w:p>
    <w:p w14:paraId="76349F32" w14:textId="77777777" w:rsidR="00477F23" w:rsidRPr="00281C64" w:rsidRDefault="00477F23" w:rsidP="00F27A47">
      <w:pPr>
        <w:pStyle w:val="ElencoLiv1"/>
        <w:numPr>
          <w:ilvl w:val="0"/>
          <w:numId w:val="6"/>
        </w:numPr>
        <w:jc w:val="both"/>
      </w:pPr>
      <w:r w:rsidRPr="00281C64">
        <w:rPr>
          <w:b/>
        </w:rPr>
        <w:t>Recesso dal contratto</w:t>
      </w:r>
    </w:p>
    <w:p w14:paraId="5BCC29FD" w14:textId="77777777" w:rsidR="00477F23" w:rsidRPr="00281C64" w:rsidRDefault="00477F23" w:rsidP="00477F23">
      <w:pPr>
        <w:pStyle w:val="ElencoLiv1"/>
        <w:numPr>
          <w:ilvl w:val="0"/>
          <w:numId w:val="0"/>
        </w:numPr>
        <w:ind w:left="930"/>
        <w:jc w:val="both"/>
      </w:pPr>
      <w:r w:rsidRPr="00281C64">
        <w:lastRenderedPageBreak/>
        <w:t>Le Amministrazioni Contraenti hanno diritto di recedere unilateralmente dal Contratto Esecutivo, in tutto o in parte, in qualsiasi momento, senza preavviso, nei casi di giusta causa o reiterati inadempimenti del Fornitore, anche se non gravi (art. 109 del D.Lgs. 50/2016).</w:t>
      </w:r>
    </w:p>
    <w:p w14:paraId="4273AD3F" w14:textId="77777777" w:rsidR="00477F23" w:rsidRPr="00281C64" w:rsidRDefault="00477F23" w:rsidP="00477F23">
      <w:pPr>
        <w:pStyle w:val="ElencoLiv1"/>
        <w:numPr>
          <w:ilvl w:val="0"/>
          <w:numId w:val="0"/>
        </w:numPr>
        <w:ind w:left="851"/>
        <w:jc w:val="both"/>
      </w:pPr>
      <w:r w:rsidRPr="00281C64">
        <w:t>In caso di mutamenti di carattere organizzativo interessanti l’Amministrazione che abbiano incidenza sulla prestazione dei servizi, l’Amministrazione potrà recedere in tutto o in parte unilateralmente dal Contratto Esecutivo, con un preavviso almeno 30 (trenta) giorni solari, da comunicarsi al Fornitore con lettera raccomandata A/Ro tramite PEC.</w:t>
      </w:r>
    </w:p>
    <w:p w14:paraId="6ACA17A9" w14:textId="4E2D7208" w:rsidR="00477F23" w:rsidRPr="00281C64" w:rsidRDefault="00477F23" w:rsidP="00F27A47">
      <w:pPr>
        <w:pStyle w:val="ElencoLiv1"/>
        <w:numPr>
          <w:ilvl w:val="0"/>
          <w:numId w:val="6"/>
        </w:numPr>
        <w:jc w:val="both"/>
      </w:pPr>
      <w:r w:rsidRPr="00281C64">
        <w:rPr>
          <w:b/>
        </w:rPr>
        <w:t xml:space="preserve">Azioni in caso di risoluzione </w:t>
      </w:r>
      <w:r w:rsidR="00BD0F74" w:rsidRPr="00281C64">
        <w:rPr>
          <w:b/>
        </w:rPr>
        <w:t>dell’Accordo Quadro</w:t>
      </w:r>
      <w:r w:rsidRPr="00281C64">
        <w:rPr>
          <w:b/>
        </w:rPr>
        <w:t xml:space="preserve"> per inadempimento del Fornitore</w:t>
      </w:r>
    </w:p>
    <w:p w14:paraId="65FA9D10" w14:textId="77777777" w:rsidR="00477F23" w:rsidRPr="00281C64" w:rsidRDefault="00477F23" w:rsidP="00477F23">
      <w:pPr>
        <w:pStyle w:val="ElencoLiv1"/>
        <w:numPr>
          <w:ilvl w:val="0"/>
          <w:numId w:val="0"/>
        </w:numPr>
        <w:ind w:left="930"/>
        <w:jc w:val="both"/>
      </w:pPr>
      <w:r w:rsidRPr="00281C64">
        <w:t>Qualora la Consip receda dall’Accordo Quadro, non potranno essere emessi nuovi Ordinativi da parte delle Amministrazioni e le singole Amministrazioni potranno a loro volta recedere dai singoli Contratti Esecutivi, con un preavviso di almeno 30 (trenta) giorni solari, da comunicarsi al Fornitore con lettera raccomandata A/R o tramite PEC.</w:t>
      </w:r>
    </w:p>
    <w:p w14:paraId="5A685397" w14:textId="77777777" w:rsidR="00477F23" w:rsidRPr="00281C64" w:rsidRDefault="00477F23" w:rsidP="00477F23">
      <w:pPr>
        <w:pStyle w:val="Titolo1"/>
        <w:ind w:left="360" w:hanging="360"/>
      </w:pPr>
      <w:bookmarkStart w:id="74" w:name="_Toc509327590"/>
      <w:bookmarkStart w:id="75" w:name="_Toc78442891"/>
      <w:bookmarkStart w:id="76" w:name="_Toc99718082"/>
      <w:r w:rsidRPr="00281C64">
        <w:t>Fatturazione e pagamenti</w:t>
      </w:r>
      <w:bookmarkEnd w:id="74"/>
      <w:bookmarkEnd w:id="75"/>
      <w:bookmarkEnd w:id="76"/>
    </w:p>
    <w:p w14:paraId="120B7EBB" w14:textId="77777777" w:rsidR="00C11A20" w:rsidRPr="00281C64" w:rsidRDefault="00C11A20" w:rsidP="00C11A20">
      <w:r w:rsidRPr="00281C64">
        <w:t>I corrispettivi sono dovuti dalle Amministrazioni Contraenti al Fornitore a decorrere dalla “Data di accettazione”, successivamente all’esito positivo della verifica di conformità della prestazione ed in modalità a consumo a seconda della metrica di consuntivazione prevista per il singolo elemento di prezzo.</w:t>
      </w:r>
    </w:p>
    <w:p w14:paraId="2B1A4709" w14:textId="3ECE792D" w:rsidR="00477F23" w:rsidRPr="00281C64" w:rsidRDefault="00477F23" w:rsidP="00C11A20">
      <w:r w:rsidRPr="00281C64">
        <w:t>I predetti corrispettivi saranno fatturati con la cadenza indicata in sede di Contratto Esecutivo e saranno corrisposti dalle Amministrazioni secondo la normativa vigente in materia di Contabilità delle Amministrazioni e previo accertamento della prestazione effettuata.</w:t>
      </w:r>
    </w:p>
    <w:p w14:paraId="2A23DC8B" w14:textId="77777777" w:rsidR="00477F23" w:rsidRPr="00281C64" w:rsidRDefault="00477F23" w:rsidP="00477F23">
      <w:pPr>
        <w:pStyle w:val="Titolo1"/>
        <w:ind w:left="360" w:hanging="360"/>
        <w:jc w:val="left"/>
      </w:pPr>
      <w:bookmarkStart w:id="77" w:name="_Toc76920602"/>
      <w:bookmarkStart w:id="78" w:name="_Toc78442892"/>
      <w:bookmarkStart w:id="79" w:name="_Toc99718083"/>
      <w:r w:rsidRPr="00281C64">
        <w:t>Subappalto</w:t>
      </w:r>
      <w:bookmarkEnd w:id="77"/>
      <w:bookmarkEnd w:id="78"/>
      <w:bookmarkEnd w:id="79"/>
    </w:p>
    <w:p w14:paraId="3CD083C8" w14:textId="64376901" w:rsidR="00477F23" w:rsidRPr="00281C64" w:rsidRDefault="00477F23" w:rsidP="00477F23">
      <w:r w:rsidRPr="00281C64">
        <w:t>Il subappalto è ammesso in conformità all’art. 105 del D. Lgs. 50/2016</w:t>
      </w:r>
      <w:r w:rsidR="00514AD2" w:rsidRPr="00281C64">
        <w:t>.</w:t>
      </w:r>
    </w:p>
    <w:p w14:paraId="3E8A5894" w14:textId="77777777" w:rsidR="00514AD2" w:rsidRPr="00281C64" w:rsidRDefault="00514AD2" w:rsidP="00E96C20">
      <w:r w:rsidRPr="00281C64">
        <w:t>Il Fornitore e il subappaltatore sono responsabili in solido, nei confronti della Consip S.p.A. e/o delle Amministrazioni Contraenti, in relazione alle prestazioni oggetto del contratto di subappalto.</w:t>
      </w:r>
    </w:p>
    <w:p w14:paraId="265C6DD8" w14:textId="7E3B5791" w:rsidR="00477F23" w:rsidRPr="00281C64" w:rsidRDefault="00D537FA" w:rsidP="00D537FA">
      <w:r w:rsidRPr="00281C64">
        <w:t>L’aggiudicatario non potrà affidare in subappalto le prestazioni oggetto del Contratto Esecutivo a imprese che abbiano partecipato alla procedura per l'af</w:t>
      </w:r>
      <w:r w:rsidR="00C11A20" w:rsidRPr="00281C64">
        <w:t xml:space="preserve">fidamento dello specifico lotto </w:t>
      </w:r>
      <w:r w:rsidR="008F2D4C" w:rsidRPr="00281C64">
        <w:t>1</w:t>
      </w:r>
      <w:r w:rsidR="00C11A20" w:rsidRPr="00281C64">
        <w:t xml:space="preserve"> </w:t>
      </w:r>
      <w:r w:rsidRPr="00281C64">
        <w:t xml:space="preserve">della gara. </w:t>
      </w:r>
      <w:r w:rsidR="00FE5169" w:rsidRPr="00281C64">
        <w:br/>
        <w:t>L’elenco delle aziende che hanno partecipato alla gara è disponibile insieme a tutti i documenti di gara, nella sezione del portale dedicata all’iniziativa.</w:t>
      </w:r>
    </w:p>
    <w:p w14:paraId="0533B05A" w14:textId="0612356C" w:rsidR="00D537FA" w:rsidRPr="00281C64" w:rsidRDefault="00D537FA" w:rsidP="00D537FA">
      <w:pPr>
        <w:rPr>
          <w:b/>
        </w:rPr>
      </w:pPr>
      <w:r w:rsidRPr="00281C64">
        <w:rPr>
          <w:b/>
        </w:rPr>
        <w:lastRenderedPageBreak/>
        <w:t xml:space="preserve">Per tutti i dettagli riguardanti il subappalto si rimanda </w:t>
      </w:r>
      <w:bookmarkStart w:id="80" w:name="_Toc24624934"/>
      <w:bookmarkEnd w:id="80"/>
      <w:r w:rsidR="0019414F" w:rsidRPr="00281C64">
        <w:rPr>
          <w:b/>
        </w:rPr>
        <w:t>alle previsioni dell’Accordo Quadro</w:t>
      </w:r>
      <w:r w:rsidR="00FE5169" w:rsidRPr="00281C64">
        <w:rPr>
          <w:b/>
        </w:rPr>
        <w:t>.</w:t>
      </w:r>
    </w:p>
    <w:p w14:paraId="42EEB74F" w14:textId="45474C06" w:rsidR="00477F23" w:rsidRPr="00281C64" w:rsidRDefault="00477F23" w:rsidP="00477F23">
      <w:r w:rsidRPr="00281C64">
        <w:t>Le richieste di autorizzazioni al subappalto, corredate dalla documentazione prescritta dall’art. 105 del D. Lgs. n. 50/2016, dovranno essere inoltrate alla singola Amministrazione</w:t>
      </w:r>
      <w:r w:rsidR="000C7B60" w:rsidRPr="00281C64">
        <w:t xml:space="preserve"> aderente</w:t>
      </w:r>
      <w:r w:rsidRPr="00281C64">
        <w:t xml:space="preserve"> e da quest’ultima rilasciate.</w:t>
      </w:r>
      <w:r w:rsidR="008F2D4C" w:rsidRPr="00281C64">
        <w:br/>
      </w:r>
    </w:p>
    <w:p w14:paraId="6F5DAED7" w14:textId="77777777" w:rsidR="00477F23" w:rsidRPr="00281C64" w:rsidRDefault="00477F23" w:rsidP="00477F23">
      <w:pPr>
        <w:pStyle w:val="Titolo1"/>
        <w:ind w:left="360" w:hanging="360"/>
      </w:pPr>
      <w:bookmarkStart w:id="81" w:name="_Toc78442893"/>
      <w:bookmarkStart w:id="82" w:name="_Toc99718084"/>
      <w:r w:rsidRPr="00281C64">
        <w:t>Esecuzione Contratto Esecutivo</w:t>
      </w:r>
      <w:bookmarkEnd w:id="81"/>
      <w:bookmarkEnd w:id="82"/>
    </w:p>
    <w:p w14:paraId="780953C8" w14:textId="77777777" w:rsidR="00477F23" w:rsidRPr="00281C64" w:rsidRDefault="00477F23" w:rsidP="00477F23">
      <w:r w:rsidRPr="00281C64">
        <w:t>Per quanto riguarda l’esecuzione dei singoli Contratti Esecutivi si faccia riferimento a quanto riportato nella documentazione di AQ. Di seguito se ne riporta un estratto.</w:t>
      </w:r>
    </w:p>
    <w:p w14:paraId="18E00C3B" w14:textId="509020C6" w:rsidR="00477F23" w:rsidRPr="00281C64" w:rsidRDefault="00477F23" w:rsidP="00477F23">
      <w:r w:rsidRPr="00281C64">
        <w:t>Quanto è offerto</w:t>
      </w:r>
      <w:r w:rsidR="00C11A20" w:rsidRPr="00281C64">
        <w:t xml:space="preserve"> dagli aggiudicatari</w:t>
      </w:r>
      <w:r w:rsidRPr="00281C64">
        <w:t xml:space="preserve"> </w:t>
      </w:r>
      <w:r w:rsidR="00C11A20" w:rsidRPr="00281C64">
        <w:t>del lotto può essere consultato nei documenti di offerta tecnica presenti</w:t>
      </w:r>
      <w:r w:rsidRPr="00281C64">
        <w:t xml:space="preserve"> sul Portale Acquistinrete all’interno della sezione dedicata al lotto. </w:t>
      </w:r>
    </w:p>
    <w:p w14:paraId="7F945CCB" w14:textId="447A6629" w:rsidR="00C65636" w:rsidRPr="00281C64" w:rsidRDefault="00C65636" w:rsidP="00477F23">
      <w:pPr>
        <w:rPr>
          <w:color w:val="595959" w:themeColor="text1" w:themeTint="A6"/>
        </w:rPr>
      </w:pPr>
      <w:r w:rsidRPr="00281C64">
        <w:rPr>
          <w:color w:val="595959" w:themeColor="text1" w:themeTint="A6"/>
        </w:rPr>
        <w:t>Le Amministrazioni aderenti hanno a disposizione anche il cosiddetto Portale della fornitura, accessibile dal momento della stipula del contratto esecutivo e per tutta la durata del contratto stesso, mediante credenziali dedicate.</w:t>
      </w:r>
    </w:p>
    <w:p w14:paraId="604FBAD5" w14:textId="317C1091" w:rsidR="00477F23" w:rsidRPr="00281C64" w:rsidRDefault="00477F23" w:rsidP="00477F23">
      <w:pPr>
        <w:rPr>
          <w:color w:val="595959" w:themeColor="text1" w:themeTint="A6"/>
        </w:rPr>
      </w:pPr>
      <w:r w:rsidRPr="00281C64">
        <w:t xml:space="preserve">L’Amministrazione dovrà segnalare a Consip eventuali discordanze con quanto riportato nel Portale e sull’eventuale mancato aggiornamento dei dati esposti. </w:t>
      </w:r>
    </w:p>
    <w:p w14:paraId="6DBF618E" w14:textId="403BFBC2" w:rsidR="00477F23" w:rsidRPr="00281C64" w:rsidRDefault="00477F23" w:rsidP="00477F23">
      <w:r w:rsidRPr="00281C64">
        <w:t xml:space="preserve">Per il Contratto esecutivo, l’Amministrazione avrà a disposizione, indicato dal fornitore, un </w:t>
      </w:r>
      <w:r w:rsidRPr="00281C64">
        <w:rPr>
          <w:b/>
        </w:rPr>
        <w:t>Responsabile unico delle attività contrattuali</w:t>
      </w:r>
      <w:r w:rsidRPr="00281C64">
        <w:t xml:space="preserve"> (di seguito per brevità anche RUAC). Il RUAC sarà il referente dell’Amministrazione su tutte le tematiche contrattuali. Inoltre, l’Amministrazione avrà a disposizione il </w:t>
      </w:r>
      <w:r w:rsidRPr="00281C64">
        <w:rPr>
          <w:b/>
        </w:rPr>
        <w:t xml:space="preserve">Responsabile Tecnico per </w:t>
      </w:r>
      <w:r w:rsidR="00C11A20" w:rsidRPr="00281C64">
        <w:rPr>
          <w:b/>
        </w:rPr>
        <w:t xml:space="preserve">i servizi Cloud </w:t>
      </w:r>
      <w:r w:rsidR="00C11A20" w:rsidRPr="00281C64">
        <w:t>quale referente</w:t>
      </w:r>
      <w:r w:rsidRPr="00281C64">
        <w:t xml:space="preserve"> operativo del Fornitore per le attività di erogazione dei servizi. Per il dettaglio delle attività del RUAC e del Responsabili Tecnico si faccia rife</w:t>
      </w:r>
      <w:r w:rsidR="00D2735A" w:rsidRPr="00281C64">
        <w:t>rimento ai paragrafi 2.3.6</w:t>
      </w:r>
      <w:r w:rsidRPr="00281C64">
        <w:t xml:space="preserve"> del Capitolato tecnico generale dell’AQ.</w:t>
      </w:r>
    </w:p>
    <w:p w14:paraId="7272C084" w14:textId="6E3E8720" w:rsidR="004D00C0" w:rsidRPr="00D2735A" w:rsidRDefault="00477F23" w:rsidP="00D2735A">
      <w:r w:rsidRPr="00281C64">
        <w:t xml:space="preserve">Per gli indicatori di valutazione della qualità della fornitura l’Amministrazione farà riferimento agli </w:t>
      </w:r>
      <w:r w:rsidRPr="00281C64">
        <w:rPr>
          <w:b/>
        </w:rPr>
        <w:t>Indicatori di qualità</w:t>
      </w:r>
      <w:r w:rsidRPr="00281C64">
        <w:t xml:space="preserve"> (descritti</w:t>
      </w:r>
      <w:r w:rsidR="00F81DB3" w:rsidRPr="00281C64">
        <w:t xml:space="preserve"> nel documento di gara </w:t>
      </w:r>
      <w:r w:rsidR="00F64382" w:rsidRPr="00281C64">
        <w:t xml:space="preserve">Allegato 16B - </w:t>
      </w:r>
      <w:r w:rsidR="00F81DB3" w:rsidRPr="00281C64">
        <w:t>“Appendice 1 al CT Speciale Lott</w:t>
      </w:r>
      <w:r w:rsidR="00D2735A" w:rsidRPr="00281C64">
        <w:t>o 1</w:t>
      </w:r>
      <w:r w:rsidR="00F81DB3" w:rsidRPr="00281C64">
        <w:t xml:space="preserve"> - Indicatori di qualità”</w:t>
      </w:r>
      <w:r w:rsidRPr="00281C64">
        <w:t>), i quali misurano l’adeguatezza delle performance del fornitore rispetto ai servizi ai quali sono applicati.</w:t>
      </w:r>
    </w:p>
    <w:p w14:paraId="790EC756" w14:textId="0A6D482B" w:rsidR="00D2735A" w:rsidRDefault="00D2735A" w:rsidP="003374D7">
      <w:pPr>
        <w:spacing w:before="56" w:line="360" w:lineRule="auto"/>
        <w:ind w:right="216"/>
        <w:textAlignment w:val="baseline"/>
        <w:rPr>
          <w:color w:val="595959" w:themeColor="text1" w:themeTint="A6"/>
        </w:rPr>
      </w:pPr>
    </w:p>
    <w:p w14:paraId="1D7658CA" w14:textId="241288DE" w:rsidR="00D2735A" w:rsidRDefault="00D2735A" w:rsidP="003374D7">
      <w:pPr>
        <w:spacing w:before="56" w:line="360" w:lineRule="auto"/>
        <w:ind w:right="216"/>
        <w:textAlignment w:val="baseline"/>
      </w:pPr>
    </w:p>
    <w:sectPr w:rsidR="00D2735A" w:rsidSect="009C75B2">
      <w:headerReference w:type="default" r:id="rId12"/>
      <w:footerReference w:type="default" r:id="rId13"/>
      <w:headerReference w:type="first" r:id="rId14"/>
      <w:footerReference w:type="first" r:id="rId15"/>
      <w:pgSz w:w="11906" w:h="16838" w:code="9"/>
      <w:pgMar w:top="1392" w:right="1134" w:bottom="1134" w:left="1134" w:header="397" w:footer="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DA7F79F" w14:textId="77777777" w:rsidR="008A1024" w:rsidRDefault="008A1024" w:rsidP="00621640">
      <w:r>
        <w:separator/>
      </w:r>
    </w:p>
    <w:p w14:paraId="6FD35844" w14:textId="77777777" w:rsidR="008A1024" w:rsidRDefault="008A1024" w:rsidP="00621640"/>
    <w:p w14:paraId="19EE09D0" w14:textId="77777777" w:rsidR="008A1024" w:rsidRDefault="008A1024" w:rsidP="00621640"/>
    <w:p w14:paraId="5BFB339F" w14:textId="77777777" w:rsidR="008A1024" w:rsidRDefault="008A1024" w:rsidP="00621640"/>
  </w:endnote>
  <w:endnote w:type="continuationSeparator" w:id="0">
    <w:p w14:paraId="264B43FC" w14:textId="77777777" w:rsidR="008A1024" w:rsidRDefault="008A1024" w:rsidP="00621640">
      <w:r>
        <w:continuationSeparator/>
      </w:r>
    </w:p>
    <w:p w14:paraId="307BE9F9" w14:textId="77777777" w:rsidR="008A1024" w:rsidRDefault="008A1024" w:rsidP="00621640"/>
    <w:p w14:paraId="1CCBBD9E" w14:textId="77777777" w:rsidR="008A1024" w:rsidRDefault="008A1024" w:rsidP="00621640"/>
    <w:p w14:paraId="4F3606CD" w14:textId="77777777" w:rsidR="008A1024" w:rsidRDefault="008A1024" w:rsidP="0062164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embedRegular r:id="rId1" w:fontKey="{29F9CCE4-663F-48DC-8704-69BE1A7069D4}"/>
    <w:embedBold r:id="rId2" w:fontKey="{A1EA2DA7-6092-4F3E-B533-207BF13EB1A8}"/>
    <w:embedItalic r:id="rId3" w:fontKey="{D7DE5538-04E0-4F4E-8532-8FBC64CF4B96}"/>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 Sans">
    <w:altName w:val="Arial"/>
    <w:charset w:val="00"/>
    <w:family w:val="auto"/>
    <w:pitch w:val="default"/>
    <w:embedRegular r:id="rId4" w:fontKey="{2B638744-FBFD-47E6-BAE8-993213CC6EAE}"/>
    <w:embedBold r:id="rId5" w:fontKey="{6A2864A4-3340-409D-8640-370C297CD852}"/>
    <w:embedItalic r:id="rId6" w:fontKey="{B7472963-55EC-4C67-B04B-461BEDFB5AAC}"/>
  </w:font>
  <w:font w:name="Titillium Web">
    <w:altName w:val="Courier New"/>
    <w:charset w:val="00"/>
    <w:family w:val="auto"/>
    <w:pitch w:val="variable"/>
    <w:sig w:usb0="00000001" w:usb1="00000001" w:usb2="00000000" w:usb3="00000000" w:csb0="00000093" w:csb1="00000000"/>
    <w:embedRegular r:id="rId7" w:fontKey="{61BEBD23-2255-4D17-93C4-B62FD6E54E08}"/>
    <w:embedBold r:id="rId8" w:fontKey="{B808A7C2-5E07-4466-83B4-59789CB79B2F}"/>
    <w:embedBoldItalic r:id="rId9" w:fontKey="{4189F21A-7439-4819-818D-B6015390FC65}"/>
  </w:font>
  <w:font w:name="Tahoma">
    <w:panose1 w:val="020B0604030504040204"/>
    <w:charset w:val="00"/>
    <w:family w:val="swiss"/>
    <w:pitch w:val="variable"/>
    <w:sig w:usb0="E1002EFF" w:usb1="C000605B" w:usb2="00000029" w:usb3="00000000" w:csb0="000101FF" w:csb1="00000000"/>
    <w:embedRegular r:id="rId10" w:fontKey="{49C51558-E920-44ED-ACEF-66B4E23CCD09}"/>
  </w:font>
  <w:font w:name="Cambria">
    <w:panose1 w:val="02040503050406030204"/>
    <w:charset w:val="00"/>
    <w:family w:val="roman"/>
    <w:pitch w:val="variable"/>
    <w:sig w:usb0="E00006FF" w:usb1="420024FF" w:usb2="02000000" w:usb3="00000000" w:csb0="0000019F" w:csb1="00000000"/>
    <w:embedRegular r:id="rId11" w:fontKey="{16DDB5E4-F381-4ADA-B9F0-9773014DE6CD}"/>
    <w:embedBold r:id="rId12" w:fontKey="{398090A1-FFB5-47CE-AA58-256674327089}"/>
    <w:embedItalic r:id="rId13" w:fontKey="{3B5E6CD0-BA70-452A-85CE-AB4628A5B9EE}"/>
  </w:font>
  <w:font w:name="Titillium Web SemiBold">
    <w:charset w:val="00"/>
    <w:family w:val="auto"/>
    <w:pitch w:val="variable"/>
    <w:sig w:usb0="00000007" w:usb1="00000001" w:usb2="00000000" w:usb3="00000000" w:csb0="00000093" w:csb1="00000000"/>
    <w:embedBold r:id="rId14" w:fontKey="{EDA353E2-71EE-4EB4-B8E4-36001D02AD92}"/>
  </w:font>
  <w:font w:name="Comic Sans MS">
    <w:panose1 w:val="030F0702030302020204"/>
    <w:charset w:val="00"/>
    <w:family w:val="script"/>
    <w:pitch w:val="variable"/>
    <w:sig w:usb0="00000287" w:usb1="00000013" w:usb2="00000000" w:usb3="00000000" w:csb0="0000009F" w:csb1="00000000"/>
    <w:embedRegular r:id="rId15" w:fontKey="{B1DC1580-0473-438D-BCD5-D8930ABEC545}"/>
  </w:font>
  <w:font w:name="Cambria Math">
    <w:panose1 w:val="02040503050406030204"/>
    <w:charset w:val="00"/>
    <w:family w:val="roman"/>
    <w:pitch w:val="variable"/>
    <w:sig w:usb0="E00006FF" w:usb1="420024FF" w:usb2="02000000" w:usb3="00000000" w:csb0="0000019F" w:csb1="00000000"/>
    <w:embedItalic r:id="rId16" w:fontKey="{A4D2D0D4-688A-4A89-AEC5-7D85032FCBB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Grigliatabella"/>
      <w:tblW w:w="5000" w:type="pct"/>
      <w:tblBorders>
        <w:top w:val="single" w:sz="24" w:space="0" w:color="AAB964"/>
        <w:left w:val="none" w:sz="0" w:space="0" w:color="auto"/>
        <w:bottom w:val="none" w:sz="0" w:space="0" w:color="auto"/>
        <w:right w:val="none" w:sz="0" w:space="0" w:color="auto"/>
        <w:insideH w:val="none" w:sz="0" w:space="0" w:color="auto"/>
        <w:insideV w:val="none" w:sz="0" w:space="0" w:color="auto"/>
      </w:tblBorders>
      <w:tblCellMar>
        <w:top w:w="113" w:type="dxa"/>
      </w:tblCellMar>
      <w:tblLook w:val="04A0" w:firstRow="1" w:lastRow="0" w:firstColumn="1" w:lastColumn="0" w:noHBand="0" w:noVBand="1"/>
    </w:tblPr>
    <w:tblGrid>
      <w:gridCol w:w="8701"/>
      <w:gridCol w:w="937"/>
    </w:tblGrid>
    <w:tr w:rsidR="00281C64" w14:paraId="281CC38E" w14:textId="77777777" w:rsidTr="000C7D1E">
      <w:tc>
        <w:tcPr>
          <w:tcW w:w="4514" w:type="pct"/>
          <w:tcBorders>
            <w:top w:val="single" w:sz="24" w:space="0" w:color="BE3969"/>
          </w:tcBorders>
        </w:tcPr>
        <w:p w14:paraId="7EB6E329" w14:textId="3857D94C" w:rsidR="00281C64" w:rsidRDefault="00281C64" w:rsidP="0042311A">
          <w:pPr>
            <w:pStyle w:val="Pidipagina"/>
            <w:spacing w:before="0"/>
            <w:jc w:val="left"/>
            <w:rPr>
              <w:i/>
              <w:iCs/>
              <w:color w:val="8C8C8C" w:themeColor="background1" w:themeShade="8C"/>
            </w:rPr>
          </w:pPr>
          <w:r>
            <w:rPr>
              <w:rStyle w:val="FooterNomeConvenzioneCarattere"/>
              <w:sz w:val="20"/>
            </w:rPr>
            <w:t>Public Cloud Iaas e PaaS – Appalto specifico</w:t>
          </w:r>
          <w:r w:rsidRPr="005D68A0">
            <w:rPr>
              <w:rStyle w:val="FooterNomeConvenzioneCarattere"/>
              <w:sz w:val="24"/>
            </w:rPr>
            <w:t xml:space="preserve"> - </w:t>
          </w:r>
          <w:r>
            <w:rPr>
              <w:rStyle w:val="FooterNomeConvenzioneCarattere"/>
              <w:sz w:val="20"/>
            </w:rPr>
            <w:t>Lotto 1</w:t>
          </w:r>
        </w:p>
      </w:tc>
      <w:tc>
        <w:tcPr>
          <w:tcW w:w="486" w:type="pct"/>
          <w:tcBorders>
            <w:top w:val="single" w:sz="24" w:space="0" w:color="BE3969"/>
          </w:tcBorders>
        </w:tcPr>
        <w:p w14:paraId="49359833" w14:textId="5960619D" w:rsidR="00281C64" w:rsidRPr="009E1B2F" w:rsidRDefault="00281C64" w:rsidP="0076086B">
          <w:pPr>
            <w:pStyle w:val="Pidipagina"/>
            <w:spacing w:before="0"/>
            <w:jc w:val="right"/>
            <w:rPr>
              <w:iCs/>
              <w:color w:val="8C8C8C" w:themeColor="background1" w:themeShade="8C"/>
            </w:rPr>
          </w:pPr>
          <w:r w:rsidRPr="009E1B2F">
            <w:rPr>
              <w:iCs/>
              <w:color w:val="8C8C8C" w:themeColor="background1" w:themeShade="8C"/>
            </w:rPr>
            <w:fldChar w:fldCharType="begin"/>
          </w:r>
          <w:r w:rsidRPr="009E1B2F">
            <w:rPr>
              <w:iCs/>
              <w:color w:val="8C8C8C" w:themeColor="background1" w:themeShade="8C"/>
            </w:rPr>
            <w:instrText>PAGE   \* MERGEFORMAT</w:instrText>
          </w:r>
          <w:r w:rsidRPr="009E1B2F">
            <w:rPr>
              <w:iCs/>
              <w:color w:val="8C8C8C" w:themeColor="background1" w:themeShade="8C"/>
            </w:rPr>
            <w:fldChar w:fldCharType="separate"/>
          </w:r>
          <w:r w:rsidR="003C3A07">
            <w:rPr>
              <w:iCs/>
              <w:noProof/>
              <w:color w:val="8C8C8C" w:themeColor="background1" w:themeShade="8C"/>
            </w:rPr>
            <w:t>13</w:t>
          </w:r>
          <w:r w:rsidRPr="009E1B2F">
            <w:rPr>
              <w:iCs/>
              <w:color w:val="8C8C8C" w:themeColor="background1" w:themeShade="8C"/>
            </w:rPr>
            <w:fldChar w:fldCharType="end"/>
          </w:r>
        </w:p>
      </w:tc>
    </w:tr>
  </w:tbl>
  <w:p w14:paraId="7286EF0E" w14:textId="77777777" w:rsidR="00281C64" w:rsidRPr="006C0381" w:rsidRDefault="00281C64" w:rsidP="006C0381">
    <w:pPr>
      <w:pStyle w:val="Pidipagina"/>
      <w:spacing w:before="0" w:line="0" w:lineRule="atLeast"/>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563B74" w14:textId="2EFB5A61" w:rsidR="00281C64" w:rsidRPr="00A61F5C" w:rsidRDefault="00281C64" w:rsidP="00621640">
    <w:pPr>
      <w:pStyle w:val="Pidipagina"/>
    </w:pPr>
    <w:r>
      <w:rPr>
        <w:noProof/>
      </w:rPr>
      <w:drawing>
        <wp:anchor distT="0" distB="0" distL="114300" distR="114300" simplePos="0" relativeHeight="251670528" behindDoc="1" locked="0" layoutInCell="1" allowOverlap="1" wp14:anchorId="1C927828" wp14:editId="3A184CEE">
          <wp:simplePos x="0" y="0"/>
          <wp:positionH relativeFrom="margin">
            <wp:posOffset>-718820</wp:posOffset>
          </wp:positionH>
          <wp:positionV relativeFrom="margin">
            <wp:posOffset>5608955</wp:posOffset>
          </wp:positionV>
          <wp:extent cx="7558774" cy="2081116"/>
          <wp:effectExtent l="0" t="0" r="4445" b="0"/>
          <wp:wrapNone/>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526 [Convertito].emf"/>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8774" cy="208111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61F5C">
      <w:t xml:space="preserve">Ultimo aggiornamento: </w:t>
    </w:r>
    <w:r w:rsidR="00BD726E">
      <w:t>31</w:t>
    </w:r>
    <w:r>
      <w:t>/03/2022</w:t>
    </w:r>
  </w:p>
  <w:p w14:paraId="3333A2D0" w14:textId="77777777" w:rsidR="00281C64" w:rsidRDefault="00281C6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DF35EC" w14:textId="77777777" w:rsidR="008A1024" w:rsidRDefault="008A1024" w:rsidP="00621640">
      <w:r>
        <w:separator/>
      </w:r>
    </w:p>
    <w:p w14:paraId="27248563" w14:textId="77777777" w:rsidR="008A1024" w:rsidRDefault="008A1024" w:rsidP="00621640"/>
    <w:p w14:paraId="3F1DFB1C" w14:textId="77777777" w:rsidR="008A1024" w:rsidRDefault="008A1024" w:rsidP="00621640"/>
    <w:p w14:paraId="7C373A55" w14:textId="77777777" w:rsidR="008A1024" w:rsidRDefault="008A1024" w:rsidP="00621640"/>
  </w:footnote>
  <w:footnote w:type="continuationSeparator" w:id="0">
    <w:p w14:paraId="59866049" w14:textId="77777777" w:rsidR="008A1024" w:rsidRDefault="008A1024" w:rsidP="00621640">
      <w:r>
        <w:continuationSeparator/>
      </w:r>
    </w:p>
    <w:p w14:paraId="1328C8C8" w14:textId="77777777" w:rsidR="008A1024" w:rsidRDefault="008A1024" w:rsidP="00621640"/>
    <w:p w14:paraId="1EAB6897" w14:textId="77777777" w:rsidR="008A1024" w:rsidRDefault="008A1024" w:rsidP="00621640"/>
    <w:p w14:paraId="30D82AB8" w14:textId="77777777" w:rsidR="008A1024" w:rsidRDefault="008A1024" w:rsidP="0062164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Grigliatabella"/>
      <w:tblW w:w="5000" w:type="pct"/>
      <w:tblBorders>
        <w:top w:val="none" w:sz="0" w:space="0" w:color="auto"/>
        <w:left w:val="none" w:sz="0" w:space="0" w:color="auto"/>
        <w:bottom w:val="single" w:sz="24" w:space="0" w:color="821B4C"/>
        <w:right w:val="none" w:sz="0" w:space="0" w:color="auto"/>
        <w:insideH w:val="none" w:sz="0" w:space="0" w:color="auto"/>
        <w:insideV w:val="none" w:sz="0" w:space="0" w:color="auto"/>
      </w:tblBorders>
      <w:tblCellMar>
        <w:left w:w="0" w:type="dxa"/>
        <w:bottom w:w="113" w:type="dxa"/>
        <w:right w:w="0" w:type="dxa"/>
      </w:tblCellMar>
      <w:tblLook w:val="04A0" w:firstRow="1" w:lastRow="0" w:firstColumn="1" w:lastColumn="0" w:noHBand="0" w:noVBand="1"/>
    </w:tblPr>
    <w:tblGrid>
      <w:gridCol w:w="3120"/>
      <w:gridCol w:w="6518"/>
    </w:tblGrid>
    <w:tr w:rsidR="00281C64" w14:paraId="0EA8C5B5" w14:textId="77777777" w:rsidTr="00EC2C2B">
      <w:tc>
        <w:tcPr>
          <w:tcW w:w="1399" w:type="pct"/>
          <w:vAlign w:val="center"/>
        </w:tcPr>
        <w:p w14:paraId="069DA2EC" w14:textId="77777777" w:rsidR="00281C64" w:rsidRDefault="00281C64" w:rsidP="00EC2C2B">
          <w:pPr>
            <w:pStyle w:val="Intestazione"/>
            <w:spacing w:before="0"/>
            <w:jc w:val="left"/>
          </w:pPr>
          <w:r>
            <w:rPr>
              <w:noProof/>
            </w:rPr>
            <w:drawing>
              <wp:inline distT="0" distB="0" distL="0" distR="0" wp14:anchorId="7D268466" wp14:editId="49B22F65">
                <wp:extent cx="1980000" cy="296259"/>
                <wp:effectExtent l="0" t="0" r="1270" b="889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Cherry.emf"/>
                        <pic:cNvPicPr/>
                      </pic:nvPicPr>
                      <pic:blipFill>
                        <a:blip r:embed="rId1">
                          <a:extLst>
                            <a:ext uri="{28A0092B-C50C-407E-A947-70E740481C1C}">
                              <a14:useLocalDpi xmlns:a14="http://schemas.microsoft.com/office/drawing/2010/main" val="0"/>
                            </a:ext>
                          </a:extLst>
                        </a:blip>
                        <a:stretch>
                          <a:fillRect/>
                        </a:stretch>
                      </pic:blipFill>
                      <pic:spPr>
                        <a:xfrm>
                          <a:off x="0" y="0"/>
                          <a:ext cx="1980000" cy="296259"/>
                        </a:xfrm>
                        <a:prstGeom prst="rect">
                          <a:avLst/>
                        </a:prstGeom>
                      </pic:spPr>
                    </pic:pic>
                  </a:graphicData>
                </a:graphic>
              </wp:inline>
            </w:drawing>
          </w:r>
        </w:p>
      </w:tc>
      <w:tc>
        <w:tcPr>
          <w:tcW w:w="3601" w:type="pct"/>
          <w:vAlign w:val="center"/>
        </w:tcPr>
        <w:p w14:paraId="687FECB5" w14:textId="65E333B3" w:rsidR="00281C64" w:rsidRPr="00EC2C2B" w:rsidRDefault="00281C64" w:rsidP="00EC2C2B">
          <w:pPr>
            <w:pStyle w:val="Header-Categoriadocumento"/>
            <w:rPr>
              <w:rFonts w:ascii="Open Sans" w:hAnsi="Open Sans"/>
              <w:b w:val="0"/>
              <w:color w:val="534D49"/>
            </w:rPr>
          </w:pPr>
          <w:r>
            <w:t>GUIDA ALL’ACCORDO QUADRO</w:t>
          </w:r>
        </w:p>
      </w:tc>
    </w:tr>
  </w:tbl>
  <w:p w14:paraId="7BB55E15" w14:textId="77777777" w:rsidR="00281C64" w:rsidRPr="00EC2C2B" w:rsidRDefault="00281C64" w:rsidP="00EC2C2B">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275F34" w14:textId="77777777" w:rsidR="00281C64" w:rsidRPr="00B334E1" w:rsidRDefault="00281C64" w:rsidP="00621640">
    <w:pPr>
      <w:pStyle w:val="Intestazione"/>
    </w:pPr>
    <w:r w:rsidRPr="00B334E1">
      <w:rPr>
        <w:noProof/>
      </w:rPr>
      <mc:AlternateContent>
        <mc:Choice Requires="wps">
          <w:drawing>
            <wp:anchor distT="0" distB="0" distL="114300" distR="114300" simplePos="0" relativeHeight="251662336" behindDoc="0" locked="0" layoutInCell="1" allowOverlap="1" wp14:anchorId="53D116B9" wp14:editId="176199AA">
              <wp:simplePos x="0" y="0"/>
              <wp:positionH relativeFrom="column">
                <wp:posOffset>-720090</wp:posOffset>
              </wp:positionH>
              <wp:positionV relativeFrom="paragraph">
                <wp:posOffset>648335</wp:posOffset>
              </wp:positionV>
              <wp:extent cx="3402000" cy="97200"/>
              <wp:effectExtent l="0" t="0" r="8255" b="0"/>
              <wp:wrapNone/>
              <wp:docPr id="5" name="Rettangolo 5"/>
              <wp:cNvGraphicFramePr/>
              <a:graphic xmlns:a="http://schemas.openxmlformats.org/drawingml/2006/main">
                <a:graphicData uri="http://schemas.microsoft.com/office/word/2010/wordprocessingShape">
                  <wps:wsp>
                    <wps:cNvSpPr/>
                    <wps:spPr>
                      <a:xfrm>
                        <a:off x="0" y="0"/>
                        <a:ext cx="3402000" cy="97200"/>
                      </a:xfrm>
                      <a:prstGeom prst="rect">
                        <a:avLst/>
                      </a:prstGeom>
                      <a:solidFill>
                        <a:srgbClr val="821B4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53133E" id="Rettangolo 5" o:spid="_x0000_s1026" style="position:absolute;margin-left:-56.7pt;margin-top:51.05pt;width:267.85pt;height:7.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" fillcolor="#821b4c" stroked="f" strokeweight="2pt"/>
          </w:pict>
        </mc:Fallback>
      </mc:AlternateContent>
    </w:r>
    <w:r w:rsidRPr="00B334E1">
      <w:rPr>
        <w:noProof/>
      </w:rPr>
      <w:drawing>
        <wp:inline distT="0" distB="0" distL="0" distR="0" wp14:anchorId="1650DC29" wp14:editId="371ADCB9">
          <wp:extent cx="2679405" cy="400908"/>
          <wp:effectExtent l="0" t="0" r="6985"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Allwhite.emf"/>
                  <pic:cNvPicPr/>
                </pic:nvPicPr>
                <pic:blipFill>
                  <a:blip r:embed="rId1">
                    <a:extLst>
                      <a:ext uri="{28A0092B-C50C-407E-A947-70E740481C1C}">
                        <a14:useLocalDpi xmlns:a14="http://schemas.microsoft.com/office/drawing/2010/main" val="0"/>
                      </a:ext>
                    </a:extLst>
                  </a:blip>
                  <a:stretch>
                    <a:fillRect/>
                  </a:stretch>
                </pic:blipFill>
                <pic:spPr>
                  <a:xfrm>
                    <a:off x="0" y="0"/>
                    <a:ext cx="2679405" cy="4009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B6462"/>
    <w:multiLevelType w:val="hybridMultilevel"/>
    <w:tmpl w:val="98CEB2A6"/>
    <w:lvl w:ilvl="0" w:tplc="5A307B9E">
      <w:numFmt w:val="bullet"/>
      <w:lvlText w:val="-"/>
      <w:lvlJc w:val="left"/>
      <w:pPr>
        <w:ind w:left="720" w:hanging="360"/>
      </w:pPr>
      <w:rPr>
        <w:rFonts w:ascii="Calibri" w:eastAsia="Times New Roman" w:hAnsi="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29F4DA1"/>
    <w:multiLevelType w:val="hybridMultilevel"/>
    <w:tmpl w:val="574A4E5E"/>
    <w:lvl w:ilvl="0" w:tplc="8BE2DF96">
      <w:start w:val="1"/>
      <w:numFmt w:val="decimal"/>
      <w:lvlText w:val="%1."/>
      <w:lvlJc w:val="left"/>
      <w:pPr>
        <w:tabs>
          <w:tab w:val="num" w:pos="360"/>
        </w:tabs>
        <w:ind w:left="360" w:hanging="360"/>
      </w:pPr>
      <w:rPr>
        <w:rFonts w:hint="default"/>
        <w:b w:val="0"/>
      </w:rPr>
    </w:lvl>
    <w:lvl w:ilvl="1" w:tplc="04100003" w:tentative="1">
      <w:start w:val="1"/>
      <w:numFmt w:val="bullet"/>
      <w:lvlText w:val="o"/>
      <w:lvlJc w:val="left"/>
      <w:pPr>
        <w:tabs>
          <w:tab w:val="num" w:pos="1800"/>
        </w:tabs>
        <w:ind w:left="1800" w:hanging="360"/>
      </w:pPr>
      <w:rPr>
        <w:rFonts w:ascii="Courier New" w:hAnsi="Courier New" w:cs="Courier New" w:hint="default"/>
      </w:rPr>
    </w:lvl>
    <w:lvl w:ilvl="2" w:tplc="04100005" w:tentative="1">
      <w:start w:val="1"/>
      <w:numFmt w:val="bullet"/>
      <w:lvlText w:val=""/>
      <w:lvlJc w:val="left"/>
      <w:pPr>
        <w:tabs>
          <w:tab w:val="num" w:pos="2520"/>
        </w:tabs>
        <w:ind w:left="2520" w:hanging="360"/>
      </w:pPr>
      <w:rPr>
        <w:rFonts w:ascii="Wingdings" w:hAnsi="Wingdings"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cs="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cs="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052C12F6"/>
    <w:multiLevelType w:val="hybridMultilevel"/>
    <w:tmpl w:val="DA163BB6"/>
    <w:lvl w:ilvl="0" w:tplc="04100003">
      <w:start w:val="1"/>
      <w:numFmt w:val="bullet"/>
      <w:lvlText w:val="o"/>
      <w:lvlJc w:val="left"/>
      <w:pPr>
        <w:ind w:left="720" w:hanging="360"/>
      </w:pPr>
      <w:rPr>
        <w:rFonts w:ascii="Courier New" w:hAnsi="Courier New" w:cs="Courier New"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B57448B"/>
    <w:multiLevelType w:val="hybridMultilevel"/>
    <w:tmpl w:val="1160D68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0C930EDC"/>
    <w:multiLevelType w:val="hybridMultilevel"/>
    <w:tmpl w:val="71FE76C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2993199"/>
    <w:multiLevelType w:val="hybridMultilevel"/>
    <w:tmpl w:val="EEB648F6"/>
    <w:lvl w:ilvl="0" w:tplc="04100001">
      <w:start w:val="1"/>
      <w:numFmt w:val="bullet"/>
      <w:lvlText w:val=""/>
      <w:lvlJc w:val="left"/>
      <w:pPr>
        <w:ind w:left="1854" w:hanging="360"/>
      </w:pPr>
      <w:rPr>
        <w:rFonts w:ascii="Symbol" w:hAnsi="Symbol" w:hint="default"/>
      </w:rPr>
    </w:lvl>
    <w:lvl w:ilvl="1" w:tplc="04100003">
      <w:start w:val="1"/>
      <w:numFmt w:val="bullet"/>
      <w:lvlText w:val="o"/>
      <w:lvlJc w:val="left"/>
      <w:pPr>
        <w:ind w:left="2574" w:hanging="360"/>
      </w:pPr>
      <w:rPr>
        <w:rFonts w:ascii="Courier New" w:hAnsi="Courier New" w:cs="Courier New" w:hint="default"/>
      </w:rPr>
    </w:lvl>
    <w:lvl w:ilvl="2" w:tplc="04100005">
      <w:start w:val="1"/>
      <w:numFmt w:val="bullet"/>
      <w:lvlText w:val=""/>
      <w:lvlJc w:val="left"/>
      <w:pPr>
        <w:ind w:left="3294" w:hanging="360"/>
      </w:pPr>
      <w:rPr>
        <w:rFonts w:ascii="Wingdings" w:hAnsi="Wingdings" w:hint="default"/>
      </w:rPr>
    </w:lvl>
    <w:lvl w:ilvl="3" w:tplc="04100001" w:tentative="1">
      <w:start w:val="1"/>
      <w:numFmt w:val="bullet"/>
      <w:lvlText w:val=""/>
      <w:lvlJc w:val="left"/>
      <w:pPr>
        <w:ind w:left="4014" w:hanging="360"/>
      </w:pPr>
      <w:rPr>
        <w:rFonts w:ascii="Symbol" w:hAnsi="Symbol" w:hint="default"/>
      </w:rPr>
    </w:lvl>
    <w:lvl w:ilvl="4" w:tplc="04100003" w:tentative="1">
      <w:start w:val="1"/>
      <w:numFmt w:val="bullet"/>
      <w:lvlText w:val="o"/>
      <w:lvlJc w:val="left"/>
      <w:pPr>
        <w:ind w:left="4734" w:hanging="360"/>
      </w:pPr>
      <w:rPr>
        <w:rFonts w:ascii="Courier New" w:hAnsi="Courier New" w:cs="Courier New" w:hint="default"/>
      </w:rPr>
    </w:lvl>
    <w:lvl w:ilvl="5" w:tplc="04100005" w:tentative="1">
      <w:start w:val="1"/>
      <w:numFmt w:val="bullet"/>
      <w:lvlText w:val=""/>
      <w:lvlJc w:val="left"/>
      <w:pPr>
        <w:ind w:left="5454" w:hanging="360"/>
      </w:pPr>
      <w:rPr>
        <w:rFonts w:ascii="Wingdings" w:hAnsi="Wingdings" w:hint="default"/>
      </w:rPr>
    </w:lvl>
    <w:lvl w:ilvl="6" w:tplc="04100001" w:tentative="1">
      <w:start w:val="1"/>
      <w:numFmt w:val="bullet"/>
      <w:lvlText w:val=""/>
      <w:lvlJc w:val="left"/>
      <w:pPr>
        <w:ind w:left="6174" w:hanging="360"/>
      </w:pPr>
      <w:rPr>
        <w:rFonts w:ascii="Symbol" w:hAnsi="Symbol" w:hint="default"/>
      </w:rPr>
    </w:lvl>
    <w:lvl w:ilvl="7" w:tplc="04100003" w:tentative="1">
      <w:start w:val="1"/>
      <w:numFmt w:val="bullet"/>
      <w:lvlText w:val="o"/>
      <w:lvlJc w:val="left"/>
      <w:pPr>
        <w:ind w:left="6894" w:hanging="360"/>
      </w:pPr>
      <w:rPr>
        <w:rFonts w:ascii="Courier New" w:hAnsi="Courier New" w:cs="Courier New" w:hint="default"/>
      </w:rPr>
    </w:lvl>
    <w:lvl w:ilvl="8" w:tplc="04100005" w:tentative="1">
      <w:start w:val="1"/>
      <w:numFmt w:val="bullet"/>
      <w:lvlText w:val=""/>
      <w:lvlJc w:val="left"/>
      <w:pPr>
        <w:ind w:left="7614" w:hanging="360"/>
      </w:pPr>
      <w:rPr>
        <w:rFonts w:ascii="Wingdings" w:hAnsi="Wingdings" w:hint="default"/>
      </w:rPr>
    </w:lvl>
  </w:abstractNum>
  <w:abstractNum w:abstractNumId="6" w15:restartNumberingAfterBreak="0">
    <w:nsid w:val="13E202AA"/>
    <w:multiLevelType w:val="hybridMultilevel"/>
    <w:tmpl w:val="4C3CFA2C"/>
    <w:lvl w:ilvl="0" w:tplc="D8A8425C">
      <w:start w:val="1"/>
      <w:numFmt w:val="upperLetter"/>
      <w:lvlText w:val="%1."/>
      <w:lvlJc w:val="left"/>
      <w:pPr>
        <w:ind w:left="930" w:hanging="57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16587042"/>
    <w:multiLevelType w:val="hybridMultilevel"/>
    <w:tmpl w:val="BB065036"/>
    <w:lvl w:ilvl="0" w:tplc="5A307B9E">
      <w:numFmt w:val="bullet"/>
      <w:lvlText w:val="-"/>
      <w:lvlJc w:val="left"/>
      <w:pPr>
        <w:ind w:left="720" w:hanging="360"/>
      </w:pPr>
      <w:rPr>
        <w:rFonts w:ascii="Calibri" w:eastAsia="Times New Roman" w:hAnsi="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6F72438"/>
    <w:multiLevelType w:val="hybridMultilevel"/>
    <w:tmpl w:val="6158C976"/>
    <w:lvl w:ilvl="0" w:tplc="78A02F2C">
      <w:start w:val="1"/>
      <w:numFmt w:val="lowerLetter"/>
      <w:lvlText w:val="%1."/>
      <w:lvlJc w:val="left"/>
      <w:pPr>
        <w:ind w:left="144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20104AC6"/>
    <w:multiLevelType w:val="hybridMultilevel"/>
    <w:tmpl w:val="BCFEFBF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20714553"/>
    <w:multiLevelType w:val="hybridMultilevel"/>
    <w:tmpl w:val="6DFA981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20CC6C63"/>
    <w:multiLevelType w:val="hybridMultilevel"/>
    <w:tmpl w:val="AADC24CE"/>
    <w:lvl w:ilvl="0" w:tplc="0410001B">
      <w:start w:val="1"/>
      <w:numFmt w:val="lowerRoman"/>
      <w:lvlText w:val="%1."/>
      <w:lvlJc w:val="righ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21FF7127"/>
    <w:multiLevelType w:val="hybridMultilevel"/>
    <w:tmpl w:val="67767D1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25347399"/>
    <w:multiLevelType w:val="hybridMultilevel"/>
    <w:tmpl w:val="628C3456"/>
    <w:lvl w:ilvl="0" w:tplc="198C895A">
      <w:numFmt w:val="bullet"/>
      <w:lvlText w:val="•"/>
      <w:lvlJc w:val="left"/>
      <w:pPr>
        <w:ind w:left="930" w:hanging="570"/>
      </w:pPr>
      <w:rPr>
        <w:rFonts w:ascii="Open Sans" w:eastAsia="Times New Roman" w:hAnsi="Open Sans" w:cs="Open San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25D5285C"/>
    <w:multiLevelType w:val="hybridMultilevel"/>
    <w:tmpl w:val="5BB25674"/>
    <w:lvl w:ilvl="0" w:tplc="04100019">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265554F8"/>
    <w:multiLevelType w:val="hybridMultilevel"/>
    <w:tmpl w:val="2C3AF0BC"/>
    <w:lvl w:ilvl="0" w:tplc="04100003">
      <w:start w:val="1"/>
      <w:numFmt w:val="bullet"/>
      <w:lvlText w:val="o"/>
      <w:lvlJc w:val="left"/>
      <w:pPr>
        <w:ind w:left="1440" w:hanging="360"/>
      </w:pPr>
      <w:rPr>
        <w:rFonts w:ascii="Courier New" w:hAnsi="Courier New" w:cs="Courier New" w:hint="default"/>
      </w:rPr>
    </w:lvl>
    <w:lvl w:ilvl="1" w:tplc="56D6ADF2">
      <w:start w:val="1"/>
      <w:numFmt w:val="bullet"/>
      <w:lvlText w:val="·"/>
      <w:lvlJc w:val="left"/>
      <w:pPr>
        <w:ind w:left="2370" w:hanging="570"/>
      </w:pPr>
      <w:rPr>
        <w:rFonts w:ascii="Open Sans" w:eastAsia="Times New Roman" w:hAnsi="Open Sans" w:cs="Open Sans"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6" w15:restartNumberingAfterBreak="0">
    <w:nsid w:val="28F866A5"/>
    <w:multiLevelType w:val="hybridMultilevel"/>
    <w:tmpl w:val="128CFBA2"/>
    <w:lvl w:ilvl="0" w:tplc="5A307B9E">
      <w:numFmt w:val="bullet"/>
      <w:lvlText w:val="-"/>
      <w:lvlJc w:val="left"/>
      <w:pPr>
        <w:ind w:left="720" w:hanging="360"/>
      </w:pPr>
      <w:rPr>
        <w:rFonts w:ascii="Calibri" w:eastAsia="Times New Roman" w:hAnsi="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2DEA2D2E"/>
    <w:multiLevelType w:val="hybridMultilevel"/>
    <w:tmpl w:val="D0560712"/>
    <w:lvl w:ilvl="0" w:tplc="5A307B9E">
      <w:numFmt w:val="bullet"/>
      <w:lvlText w:val="-"/>
      <w:lvlJc w:val="left"/>
      <w:pPr>
        <w:ind w:left="720" w:hanging="360"/>
      </w:pPr>
      <w:rPr>
        <w:rFonts w:ascii="Calibri" w:eastAsia="Times New Roman" w:hAnsi="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325C204C"/>
    <w:multiLevelType w:val="hybridMultilevel"/>
    <w:tmpl w:val="10086096"/>
    <w:lvl w:ilvl="0" w:tplc="CDA02D60">
      <w:start w:val="1"/>
      <w:numFmt w:val="bullet"/>
      <w:pStyle w:val="ElencoLiv1"/>
      <w:lvlText w:val=""/>
      <w:lvlJc w:val="left"/>
      <w:pPr>
        <w:ind w:left="512" w:hanging="360"/>
      </w:pPr>
      <w:rPr>
        <w:rFonts w:ascii="Symbol" w:hAnsi="Symbol" w:hint="default"/>
        <w:b/>
        <w:i w:val="0"/>
        <w:color w:val="821B4C"/>
        <w:sz w:val="20"/>
      </w:rPr>
    </w:lvl>
    <w:lvl w:ilvl="1" w:tplc="04100003">
      <w:start w:val="1"/>
      <w:numFmt w:val="bullet"/>
      <w:lvlText w:val="o"/>
      <w:lvlJc w:val="left"/>
      <w:pPr>
        <w:ind w:left="1516" w:hanging="360"/>
      </w:pPr>
      <w:rPr>
        <w:rFonts w:ascii="Courier New" w:hAnsi="Courier New" w:cs="Courier New" w:hint="default"/>
      </w:rPr>
    </w:lvl>
    <w:lvl w:ilvl="2" w:tplc="04100005" w:tentative="1">
      <w:start w:val="1"/>
      <w:numFmt w:val="bullet"/>
      <w:lvlText w:val=""/>
      <w:lvlJc w:val="left"/>
      <w:pPr>
        <w:ind w:left="2236" w:hanging="360"/>
      </w:pPr>
      <w:rPr>
        <w:rFonts w:ascii="Wingdings" w:hAnsi="Wingdings" w:hint="default"/>
      </w:rPr>
    </w:lvl>
    <w:lvl w:ilvl="3" w:tplc="04100001" w:tentative="1">
      <w:start w:val="1"/>
      <w:numFmt w:val="bullet"/>
      <w:lvlText w:val=""/>
      <w:lvlJc w:val="left"/>
      <w:pPr>
        <w:ind w:left="2956" w:hanging="360"/>
      </w:pPr>
      <w:rPr>
        <w:rFonts w:ascii="Symbol" w:hAnsi="Symbol" w:hint="default"/>
      </w:rPr>
    </w:lvl>
    <w:lvl w:ilvl="4" w:tplc="04100003" w:tentative="1">
      <w:start w:val="1"/>
      <w:numFmt w:val="bullet"/>
      <w:lvlText w:val="o"/>
      <w:lvlJc w:val="left"/>
      <w:pPr>
        <w:ind w:left="3676" w:hanging="360"/>
      </w:pPr>
      <w:rPr>
        <w:rFonts w:ascii="Courier New" w:hAnsi="Courier New" w:cs="Courier New" w:hint="default"/>
      </w:rPr>
    </w:lvl>
    <w:lvl w:ilvl="5" w:tplc="04100005" w:tentative="1">
      <w:start w:val="1"/>
      <w:numFmt w:val="bullet"/>
      <w:lvlText w:val=""/>
      <w:lvlJc w:val="left"/>
      <w:pPr>
        <w:ind w:left="4396" w:hanging="360"/>
      </w:pPr>
      <w:rPr>
        <w:rFonts w:ascii="Wingdings" w:hAnsi="Wingdings" w:hint="default"/>
      </w:rPr>
    </w:lvl>
    <w:lvl w:ilvl="6" w:tplc="04100001" w:tentative="1">
      <w:start w:val="1"/>
      <w:numFmt w:val="bullet"/>
      <w:lvlText w:val=""/>
      <w:lvlJc w:val="left"/>
      <w:pPr>
        <w:ind w:left="5116" w:hanging="360"/>
      </w:pPr>
      <w:rPr>
        <w:rFonts w:ascii="Symbol" w:hAnsi="Symbol" w:hint="default"/>
      </w:rPr>
    </w:lvl>
    <w:lvl w:ilvl="7" w:tplc="04100003" w:tentative="1">
      <w:start w:val="1"/>
      <w:numFmt w:val="bullet"/>
      <w:lvlText w:val="o"/>
      <w:lvlJc w:val="left"/>
      <w:pPr>
        <w:ind w:left="5836" w:hanging="360"/>
      </w:pPr>
      <w:rPr>
        <w:rFonts w:ascii="Courier New" w:hAnsi="Courier New" w:cs="Courier New" w:hint="default"/>
      </w:rPr>
    </w:lvl>
    <w:lvl w:ilvl="8" w:tplc="04100005" w:tentative="1">
      <w:start w:val="1"/>
      <w:numFmt w:val="bullet"/>
      <w:lvlText w:val=""/>
      <w:lvlJc w:val="left"/>
      <w:pPr>
        <w:ind w:left="6556" w:hanging="360"/>
      </w:pPr>
      <w:rPr>
        <w:rFonts w:ascii="Wingdings" w:hAnsi="Wingdings" w:hint="default"/>
      </w:rPr>
    </w:lvl>
  </w:abstractNum>
  <w:abstractNum w:abstractNumId="19" w15:restartNumberingAfterBreak="0">
    <w:nsid w:val="3A785CBE"/>
    <w:multiLevelType w:val="hybridMultilevel"/>
    <w:tmpl w:val="844CD3F0"/>
    <w:lvl w:ilvl="0" w:tplc="5A307B9E">
      <w:numFmt w:val="bullet"/>
      <w:lvlText w:val="-"/>
      <w:lvlJc w:val="left"/>
      <w:pPr>
        <w:ind w:left="1276" w:hanging="360"/>
      </w:pPr>
      <w:rPr>
        <w:rFonts w:ascii="Calibri" w:eastAsia="Times New Roman" w:hAnsi="Calibri" w:hint="default"/>
      </w:rPr>
    </w:lvl>
    <w:lvl w:ilvl="1" w:tplc="04100003" w:tentative="1">
      <w:start w:val="1"/>
      <w:numFmt w:val="bullet"/>
      <w:lvlText w:val="o"/>
      <w:lvlJc w:val="left"/>
      <w:pPr>
        <w:ind w:left="1996" w:hanging="360"/>
      </w:pPr>
      <w:rPr>
        <w:rFonts w:ascii="Courier New" w:hAnsi="Courier New" w:cs="Courier New" w:hint="default"/>
      </w:rPr>
    </w:lvl>
    <w:lvl w:ilvl="2" w:tplc="04100005" w:tentative="1">
      <w:start w:val="1"/>
      <w:numFmt w:val="bullet"/>
      <w:lvlText w:val=""/>
      <w:lvlJc w:val="left"/>
      <w:pPr>
        <w:ind w:left="2716" w:hanging="360"/>
      </w:pPr>
      <w:rPr>
        <w:rFonts w:ascii="Wingdings" w:hAnsi="Wingdings" w:hint="default"/>
      </w:rPr>
    </w:lvl>
    <w:lvl w:ilvl="3" w:tplc="04100001" w:tentative="1">
      <w:start w:val="1"/>
      <w:numFmt w:val="bullet"/>
      <w:lvlText w:val=""/>
      <w:lvlJc w:val="left"/>
      <w:pPr>
        <w:ind w:left="3436" w:hanging="360"/>
      </w:pPr>
      <w:rPr>
        <w:rFonts w:ascii="Symbol" w:hAnsi="Symbol" w:hint="default"/>
      </w:rPr>
    </w:lvl>
    <w:lvl w:ilvl="4" w:tplc="04100003" w:tentative="1">
      <w:start w:val="1"/>
      <w:numFmt w:val="bullet"/>
      <w:lvlText w:val="o"/>
      <w:lvlJc w:val="left"/>
      <w:pPr>
        <w:ind w:left="4156" w:hanging="360"/>
      </w:pPr>
      <w:rPr>
        <w:rFonts w:ascii="Courier New" w:hAnsi="Courier New" w:cs="Courier New" w:hint="default"/>
      </w:rPr>
    </w:lvl>
    <w:lvl w:ilvl="5" w:tplc="04100005" w:tentative="1">
      <w:start w:val="1"/>
      <w:numFmt w:val="bullet"/>
      <w:lvlText w:val=""/>
      <w:lvlJc w:val="left"/>
      <w:pPr>
        <w:ind w:left="4876" w:hanging="360"/>
      </w:pPr>
      <w:rPr>
        <w:rFonts w:ascii="Wingdings" w:hAnsi="Wingdings" w:hint="default"/>
      </w:rPr>
    </w:lvl>
    <w:lvl w:ilvl="6" w:tplc="04100001" w:tentative="1">
      <w:start w:val="1"/>
      <w:numFmt w:val="bullet"/>
      <w:lvlText w:val=""/>
      <w:lvlJc w:val="left"/>
      <w:pPr>
        <w:ind w:left="5596" w:hanging="360"/>
      </w:pPr>
      <w:rPr>
        <w:rFonts w:ascii="Symbol" w:hAnsi="Symbol" w:hint="default"/>
      </w:rPr>
    </w:lvl>
    <w:lvl w:ilvl="7" w:tplc="04100003" w:tentative="1">
      <w:start w:val="1"/>
      <w:numFmt w:val="bullet"/>
      <w:lvlText w:val="o"/>
      <w:lvlJc w:val="left"/>
      <w:pPr>
        <w:ind w:left="6316" w:hanging="360"/>
      </w:pPr>
      <w:rPr>
        <w:rFonts w:ascii="Courier New" w:hAnsi="Courier New" w:cs="Courier New" w:hint="default"/>
      </w:rPr>
    </w:lvl>
    <w:lvl w:ilvl="8" w:tplc="04100005" w:tentative="1">
      <w:start w:val="1"/>
      <w:numFmt w:val="bullet"/>
      <w:lvlText w:val=""/>
      <w:lvlJc w:val="left"/>
      <w:pPr>
        <w:ind w:left="7036" w:hanging="360"/>
      </w:pPr>
      <w:rPr>
        <w:rFonts w:ascii="Wingdings" w:hAnsi="Wingdings" w:hint="default"/>
      </w:rPr>
    </w:lvl>
  </w:abstractNum>
  <w:abstractNum w:abstractNumId="20" w15:restartNumberingAfterBreak="0">
    <w:nsid w:val="3C1A777C"/>
    <w:multiLevelType w:val="hybridMultilevel"/>
    <w:tmpl w:val="407409A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3D1C1FED"/>
    <w:multiLevelType w:val="hybridMultilevel"/>
    <w:tmpl w:val="24EA721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40025689"/>
    <w:multiLevelType w:val="hybridMultilevel"/>
    <w:tmpl w:val="EF9CE072"/>
    <w:lvl w:ilvl="0" w:tplc="04100003">
      <w:start w:val="1"/>
      <w:numFmt w:val="bullet"/>
      <w:lvlText w:val="o"/>
      <w:lvlJc w:val="left"/>
      <w:pPr>
        <w:ind w:left="1440" w:hanging="360"/>
      </w:pPr>
      <w:rPr>
        <w:rFonts w:ascii="Courier New" w:hAnsi="Courier New" w:cs="Courier New" w:hint="default"/>
      </w:r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23" w15:restartNumberingAfterBreak="0">
    <w:nsid w:val="408A3AFC"/>
    <w:multiLevelType w:val="hybridMultilevel"/>
    <w:tmpl w:val="3ECA219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42021202"/>
    <w:multiLevelType w:val="hybridMultilevel"/>
    <w:tmpl w:val="053E641A"/>
    <w:lvl w:ilvl="0" w:tplc="04100001">
      <w:start w:val="1"/>
      <w:numFmt w:val="bullet"/>
      <w:lvlText w:val=""/>
      <w:lvlJc w:val="left"/>
      <w:pPr>
        <w:ind w:left="1440" w:hanging="360"/>
      </w:pPr>
      <w:rPr>
        <w:rFonts w:ascii="Symbol" w:hAnsi="Symbol" w:hint="default"/>
      </w:r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25" w15:restartNumberingAfterBreak="0">
    <w:nsid w:val="47472BB4"/>
    <w:multiLevelType w:val="hybridMultilevel"/>
    <w:tmpl w:val="55EA8820"/>
    <w:lvl w:ilvl="0" w:tplc="04100003">
      <w:start w:val="1"/>
      <w:numFmt w:val="bullet"/>
      <w:lvlText w:val="o"/>
      <w:lvlJc w:val="left"/>
      <w:pPr>
        <w:ind w:left="1494" w:hanging="360"/>
      </w:pPr>
      <w:rPr>
        <w:rFonts w:ascii="Courier New" w:hAnsi="Courier New" w:cs="Courier New" w:hint="default"/>
      </w:rPr>
    </w:lvl>
    <w:lvl w:ilvl="1" w:tplc="04100003" w:tentative="1">
      <w:start w:val="1"/>
      <w:numFmt w:val="bullet"/>
      <w:lvlText w:val="o"/>
      <w:lvlJc w:val="left"/>
      <w:pPr>
        <w:ind w:left="2214" w:hanging="360"/>
      </w:pPr>
      <w:rPr>
        <w:rFonts w:ascii="Courier New" w:hAnsi="Courier New" w:cs="Courier New" w:hint="default"/>
      </w:rPr>
    </w:lvl>
    <w:lvl w:ilvl="2" w:tplc="04100005" w:tentative="1">
      <w:start w:val="1"/>
      <w:numFmt w:val="bullet"/>
      <w:lvlText w:val=""/>
      <w:lvlJc w:val="left"/>
      <w:pPr>
        <w:ind w:left="2934" w:hanging="360"/>
      </w:pPr>
      <w:rPr>
        <w:rFonts w:ascii="Wingdings" w:hAnsi="Wingdings" w:hint="default"/>
      </w:rPr>
    </w:lvl>
    <w:lvl w:ilvl="3" w:tplc="04100001" w:tentative="1">
      <w:start w:val="1"/>
      <w:numFmt w:val="bullet"/>
      <w:lvlText w:val=""/>
      <w:lvlJc w:val="left"/>
      <w:pPr>
        <w:ind w:left="3654" w:hanging="360"/>
      </w:pPr>
      <w:rPr>
        <w:rFonts w:ascii="Symbol" w:hAnsi="Symbol" w:hint="default"/>
      </w:rPr>
    </w:lvl>
    <w:lvl w:ilvl="4" w:tplc="04100003" w:tentative="1">
      <w:start w:val="1"/>
      <w:numFmt w:val="bullet"/>
      <w:lvlText w:val="o"/>
      <w:lvlJc w:val="left"/>
      <w:pPr>
        <w:ind w:left="4374" w:hanging="360"/>
      </w:pPr>
      <w:rPr>
        <w:rFonts w:ascii="Courier New" w:hAnsi="Courier New" w:cs="Courier New" w:hint="default"/>
      </w:rPr>
    </w:lvl>
    <w:lvl w:ilvl="5" w:tplc="04100005" w:tentative="1">
      <w:start w:val="1"/>
      <w:numFmt w:val="bullet"/>
      <w:lvlText w:val=""/>
      <w:lvlJc w:val="left"/>
      <w:pPr>
        <w:ind w:left="5094" w:hanging="360"/>
      </w:pPr>
      <w:rPr>
        <w:rFonts w:ascii="Wingdings" w:hAnsi="Wingdings" w:hint="default"/>
      </w:rPr>
    </w:lvl>
    <w:lvl w:ilvl="6" w:tplc="04100001" w:tentative="1">
      <w:start w:val="1"/>
      <w:numFmt w:val="bullet"/>
      <w:lvlText w:val=""/>
      <w:lvlJc w:val="left"/>
      <w:pPr>
        <w:ind w:left="5814" w:hanging="360"/>
      </w:pPr>
      <w:rPr>
        <w:rFonts w:ascii="Symbol" w:hAnsi="Symbol" w:hint="default"/>
      </w:rPr>
    </w:lvl>
    <w:lvl w:ilvl="7" w:tplc="04100003" w:tentative="1">
      <w:start w:val="1"/>
      <w:numFmt w:val="bullet"/>
      <w:lvlText w:val="o"/>
      <w:lvlJc w:val="left"/>
      <w:pPr>
        <w:ind w:left="6534" w:hanging="360"/>
      </w:pPr>
      <w:rPr>
        <w:rFonts w:ascii="Courier New" w:hAnsi="Courier New" w:cs="Courier New" w:hint="default"/>
      </w:rPr>
    </w:lvl>
    <w:lvl w:ilvl="8" w:tplc="04100005" w:tentative="1">
      <w:start w:val="1"/>
      <w:numFmt w:val="bullet"/>
      <w:lvlText w:val=""/>
      <w:lvlJc w:val="left"/>
      <w:pPr>
        <w:ind w:left="7254" w:hanging="360"/>
      </w:pPr>
      <w:rPr>
        <w:rFonts w:ascii="Wingdings" w:hAnsi="Wingdings" w:hint="default"/>
      </w:rPr>
    </w:lvl>
  </w:abstractNum>
  <w:abstractNum w:abstractNumId="26" w15:restartNumberingAfterBreak="0">
    <w:nsid w:val="49F04B79"/>
    <w:multiLevelType w:val="hybridMultilevel"/>
    <w:tmpl w:val="85E044C6"/>
    <w:lvl w:ilvl="0" w:tplc="0410001B">
      <w:start w:val="1"/>
      <w:numFmt w:val="lowerRoman"/>
      <w:lvlText w:val="%1."/>
      <w:lvlJc w:val="right"/>
      <w:pPr>
        <w:ind w:left="720" w:hanging="360"/>
      </w:pPr>
    </w:lvl>
    <w:lvl w:ilvl="1" w:tplc="CBB688D6">
      <w:start w:val="1"/>
      <w:numFmt w:val="lowerRoman"/>
      <w:lvlText w:val="%2)"/>
      <w:lvlJc w:val="left"/>
      <w:pPr>
        <w:ind w:left="1800" w:hanging="720"/>
      </w:pPr>
      <w:rPr>
        <w:rFonts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4BEC536B"/>
    <w:multiLevelType w:val="hybridMultilevel"/>
    <w:tmpl w:val="10D03C5E"/>
    <w:lvl w:ilvl="0" w:tplc="04100001">
      <w:start w:val="1"/>
      <w:numFmt w:val="bullet"/>
      <w:lvlText w:val=""/>
      <w:lvlJc w:val="left"/>
      <w:pPr>
        <w:ind w:left="1996" w:hanging="360"/>
      </w:pPr>
      <w:rPr>
        <w:rFonts w:ascii="Symbol" w:hAnsi="Symbol" w:hint="default"/>
      </w:rPr>
    </w:lvl>
    <w:lvl w:ilvl="1" w:tplc="04100003" w:tentative="1">
      <w:start w:val="1"/>
      <w:numFmt w:val="bullet"/>
      <w:lvlText w:val="o"/>
      <w:lvlJc w:val="left"/>
      <w:pPr>
        <w:ind w:left="2716" w:hanging="360"/>
      </w:pPr>
      <w:rPr>
        <w:rFonts w:ascii="Courier New" w:hAnsi="Courier New" w:cs="Courier New" w:hint="default"/>
      </w:rPr>
    </w:lvl>
    <w:lvl w:ilvl="2" w:tplc="04100005" w:tentative="1">
      <w:start w:val="1"/>
      <w:numFmt w:val="bullet"/>
      <w:lvlText w:val=""/>
      <w:lvlJc w:val="left"/>
      <w:pPr>
        <w:ind w:left="3436" w:hanging="360"/>
      </w:pPr>
      <w:rPr>
        <w:rFonts w:ascii="Wingdings" w:hAnsi="Wingdings" w:hint="default"/>
      </w:rPr>
    </w:lvl>
    <w:lvl w:ilvl="3" w:tplc="04100001" w:tentative="1">
      <w:start w:val="1"/>
      <w:numFmt w:val="bullet"/>
      <w:lvlText w:val=""/>
      <w:lvlJc w:val="left"/>
      <w:pPr>
        <w:ind w:left="4156" w:hanging="360"/>
      </w:pPr>
      <w:rPr>
        <w:rFonts w:ascii="Symbol" w:hAnsi="Symbol" w:hint="default"/>
      </w:rPr>
    </w:lvl>
    <w:lvl w:ilvl="4" w:tplc="04100003" w:tentative="1">
      <w:start w:val="1"/>
      <w:numFmt w:val="bullet"/>
      <w:lvlText w:val="o"/>
      <w:lvlJc w:val="left"/>
      <w:pPr>
        <w:ind w:left="4876" w:hanging="360"/>
      </w:pPr>
      <w:rPr>
        <w:rFonts w:ascii="Courier New" w:hAnsi="Courier New" w:cs="Courier New" w:hint="default"/>
      </w:rPr>
    </w:lvl>
    <w:lvl w:ilvl="5" w:tplc="04100005" w:tentative="1">
      <w:start w:val="1"/>
      <w:numFmt w:val="bullet"/>
      <w:lvlText w:val=""/>
      <w:lvlJc w:val="left"/>
      <w:pPr>
        <w:ind w:left="5596" w:hanging="360"/>
      </w:pPr>
      <w:rPr>
        <w:rFonts w:ascii="Wingdings" w:hAnsi="Wingdings" w:hint="default"/>
      </w:rPr>
    </w:lvl>
    <w:lvl w:ilvl="6" w:tplc="04100001" w:tentative="1">
      <w:start w:val="1"/>
      <w:numFmt w:val="bullet"/>
      <w:lvlText w:val=""/>
      <w:lvlJc w:val="left"/>
      <w:pPr>
        <w:ind w:left="6316" w:hanging="360"/>
      </w:pPr>
      <w:rPr>
        <w:rFonts w:ascii="Symbol" w:hAnsi="Symbol" w:hint="default"/>
      </w:rPr>
    </w:lvl>
    <w:lvl w:ilvl="7" w:tplc="04100003" w:tentative="1">
      <w:start w:val="1"/>
      <w:numFmt w:val="bullet"/>
      <w:lvlText w:val="o"/>
      <w:lvlJc w:val="left"/>
      <w:pPr>
        <w:ind w:left="7036" w:hanging="360"/>
      </w:pPr>
      <w:rPr>
        <w:rFonts w:ascii="Courier New" w:hAnsi="Courier New" w:cs="Courier New" w:hint="default"/>
      </w:rPr>
    </w:lvl>
    <w:lvl w:ilvl="8" w:tplc="04100005" w:tentative="1">
      <w:start w:val="1"/>
      <w:numFmt w:val="bullet"/>
      <w:lvlText w:val=""/>
      <w:lvlJc w:val="left"/>
      <w:pPr>
        <w:ind w:left="7756" w:hanging="360"/>
      </w:pPr>
      <w:rPr>
        <w:rFonts w:ascii="Wingdings" w:hAnsi="Wingdings" w:hint="default"/>
      </w:rPr>
    </w:lvl>
  </w:abstractNum>
  <w:abstractNum w:abstractNumId="28" w15:restartNumberingAfterBreak="0">
    <w:nsid w:val="509821B9"/>
    <w:multiLevelType w:val="hybridMultilevel"/>
    <w:tmpl w:val="F7007338"/>
    <w:lvl w:ilvl="0" w:tplc="5A307B9E">
      <w:numFmt w:val="bullet"/>
      <w:lvlText w:val="-"/>
      <w:lvlJc w:val="left"/>
      <w:pPr>
        <w:ind w:left="720" w:hanging="360"/>
      </w:pPr>
      <w:rPr>
        <w:rFonts w:ascii="Calibri" w:eastAsia="Times New Roman" w:hAnsi="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52BD6F0C"/>
    <w:multiLevelType w:val="hybridMultilevel"/>
    <w:tmpl w:val="E99208F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53C752D3"/>
    <w:multiLevelType w:val="hybridMultilevel"/>
    <w:tmpl w:val="6B2852D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549068EC"/>
    <w:multiLevelType w:val="hybridMultilevel"/>
    <w:tmpl w:val="A446C07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554048DA"/>
    <w:multiLevelType w:val="hybridMultilevel"/>
    <w:tmpl w:val="1E364430"/>
    <w:lvl w:ilvl="0" w:tplc="5A307B9E">
      <w:numFmt w:val="bullet"/>
      <w:lvlText w:val="-"/>
      <w:lvlJc w:val="left"/>
      <w:pPr>
        <w:ind w:left="720" w:hanging="360"/>
      </w:pPr>
      <w:rPr>
        <w:rFonts w:ascii="Calibri" w:eastAsia="Times New Roman" w:hAnsi="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57505241"/>
    <w:multiLevelType w:val="hybridMultilevel"/>
    <w:tmpl w:val="A10232E8"/>
    <w:lvl w:ilvl="0" w:tplc="04100019">
      <w:start w:val="1"/>
      <w:numFmt w:val="lowerLetter"/>
      <w:lvlText w:val="%1."/>
      <w:lvlJc w:val="left"/>
      <w:pPr>
        <w:ind w:left="1440" w:hanging="360"/>
      </w:p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34" w15:restartNumberingAfterBreak="0">
    <w:nsid w:val="5B5C2101"/>
    <w:multiLevelType w:val="hybridMultilevel"/>
    <w:tmpl w:val="AC62BF08"/>
    <w:lvl w:ilvl="0" w:tplc="49F84104">
      <w:numFmt w:val="bullet"/>
      <w:lvlText w:val="•"/>
      <w:lvlJc w:val="left"/>
      <w:pPr>
        <w:ind w:left="930" w:hanging="570"/>
      </w:pPr>
      <w:rPr>
        <w:rFonts w:ascii="Open Sans" w:eastAsia="Times New Roman" w:hAnsi="Open Sans" w:cs="Open Sans"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5C834AC7"/>
    <w:multiLevelType w:val="multilevel"/>
    <w:tmpl w:val="269A25F4"/>
    <w:lvl w:ilvl="0">
      <w:start w:val="1"/>
      <w:numFmt w:val="decimal"/>
      <w:pStyle w:val="Titolo1"/>
      <w:lvlText w:val="%1."/>
      <w:lvlJc w:val="left"/>
      <w:pPr>
        <w:ind w:left="360" w:hanging="360"/>
      </w:pPr>
      <w:rPr>
        <w:rFonts w:hint="default"/>
        <w:b/>
        <w:i w:val="0"/>
        <w:sz w:val="24"/>
      </w:rPr>
    </w:lvl>
    <w:lvl w:ilvl="1">
      <w:start w:val="1"/>
      <w:numFmt w:val="decimal"/>
      <w:pStyle w:val="Titolo2"/>
      <w:lvlText w:val="%1.%2."/>
      <w:lvlJc w:val="left"/>
      <w:pPr>
        <w:ind w:left="792" w:hanging="432"/>
      </w:pPr>
      <w:rPr>
        <w:sz w:val="24"/>
      </w:rPr>
    </w:lvl>
    <w:lvl w:ilvl="2">
      <w:start w:val="1"/>
      <w:numFmt w:val="decimal"/>
      <w:pStyle w:val="Titolo3"/>
      <w:lvlText w:val="%1.%2.%3."/>
      <w:lvlJc w:val="left"/>
      <w:pPr>
        <w:ind w:left="1224" w:hanging="504"/>
      </w:pPr>
      <w:rPr>
        <w:sz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5D98569F"/>
    <w:multiLevelType w:val="hybridMultilevel"/>
    <w:tmpl w:val="DB828C6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5F660D88"/>
    <w:multiLevelType w:val="hybridMultilevel"/>
    <w:tmpl w:val="A5E60B98"/>
    <w:lvl w:ilvl="0" w:tplc="49F84104">
      <w:numFmt w:val="bullet"/>
      <w:lvlText w:val="•"/>
      <w:lvlJc w:val="left"/>
      <w:pPr>
        <w:ind w:left="930" w:hanging="570"/>
      </w:pPr>
      <w:rPr>
        <w:rFonts w:ascii="Open Sans" w:eastAsia="Times New Roman" w:hAnsi="Open Sans" w:cs="Open Sans"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659B3591"/>
    <w:multiLevelType w:val="hybridMultilevel"/>
    <w:tmpl w:val="21AC14B8"/>
    <w:lvl w:ilvl="0" w:tplc="FFE0F892">
      <w:start w:val="1"/>
      <w:numFmt w:val="bullet"/>
      <w:lvlText w:val=""/>
      <w:lvlJc w:val="left"/>
      <w:pPr>
        <w:ind w:left="436" w:hanging="360"/>
      </w:pPr>
      <w:rPr>
        <w:rFonts w:ascii="Symbol" w:hAnsi="Symbol" w:hint="default"/>
        <w:color w:val="821B4C"/>
        <w:sz w:val="28"/>
      </w:rPr>
    </w:lvl>
    <w:lvl w:ilvl="1" w:tplc="EC7AC13E">
      <w:start w:val="1"/>
      <w:numFmt w:val="bullet"/>
      <w:pStyle w:val="ElencoLiv2"/>
      <w:lvlText w:val="o"/>
      <w:lvlJc w:val="left"/>
      <w:pPr>
        <w:ind w:left="1156" w:hanging="360"/>
      </w:pPr>
      <w:rPr>
        <w:rFonts w:ascii="Courier New" w:hAnsi="Courier New" w:hint="default"/>
        <w:b/>
        <w:i w:val="0"/>
        <w:color w:val="821B4C"/>
      </w:rPr>
    </w:lvl>
    <w:lvl w:ilvl="2" w:tplc="30802F38">
      <w:start w:val="1"/>
      <w:numFmt w:val="bullet"/>
      <w:pStyle w:val="ElencoLiv3"/>
      <w:lvlText w:val=""/>
      <w:lvlJc w:val="left"/>
      <w:pPr>
        <w:ind w:left="1876" w:hanging="360"/>
      </w:pPr>
      <w:rPr>
        <w:rFonts w:ascii="Wingdings" w:hAnsi="Wingdings" w:hint="default"/>
        <w:color w:val="821B4C"/>
      </w:rPr>
    </w:lvl>
    <w:lvl w:ilvl="3" w:tplc="04100001">
      <w:start w:val="1"/>
      <w:numFmt w:val="bullet"/>
      <w:lvlText w:val=""/>
      <w:lvlJc w:val="left"/>
      <w:pPr>
        <w:ind w:left="2596" w:hanging="360"/>
      </w:pPr>
      <w:rPr>
        <w:rFonts w:ascii="Symbol" w:hAnsi="Symbol" w:hint="default"/>
      </w:rPr>
    </w:lvl>
    <w:lvl w:ilvl="4" w:tplc="04100003">
      <w:start w:val="1"/>
      <w:numFmt w:val="bullet"/>
      <w:lvlText w:val="o"/>
      <w:lvlJc w:val="left"/>
      <w:pPr>
        <w:ind w:left="3316" w:hanging="360"/>
      </w:pPr>
      <w:rPr>
        <w:rFonts w:ascii="Courier New" w:hAnsi="Courier New" w:cs="Courier New" w:hint="default"/>
      </w:rPr>
    </w:lvl>
    <w:lvl w:ilvl="5" w:tplc="04100005">
      <w:start w:val="1"/>
      <w:numFmt w:val="bullet"/>
      <w:lvlText w:val=""/>
      <w:lvlJc w:val="left"/>
      <w:pPr>
        <w:ind w:left="4036" w:hanging="360"/>
      </w:pPr>
      <w:rPr>
        <w:rFonts w:ascii="Wingdings" w:hAnsi="Wingdings" w:hint="default"/>
      </w:rPr>
    </w:lvl>
    <w:lvl w:ilvl="6" w:tplc="04100001">
      <w:start w:val="1"/>
      <w:numFmt w:val="bullet"/>
      <w:lvlText w:val=""/>
      <w:lvlJc w:val="left"/>
      <w:pPr>
        <w:ind w:left="4756" w:hanging="360"/>
      </w:pPr>
      <w:rPr>
        <w:rFonts w:ascii="Symbol" w:hAnsi="Symbol" w:hint="default"/>
      </w:rPr>
    </w:lvl>
    <w:lvl w:ilvl="7" w:tplc="04100003">
      <w:start w:val="1"/>
      <w:numFmt w:val="bullet"/>
      <w:lvlText w:val="o"/>
      <w:lvlJc w:val="left"/>
      <w:pPr>
        <w:ind w:left="5476" w:hanging="360"/>
      </w:pPr>
      <w:rPr>
        <w:rFonts w:ascii="Courier New" w:hAnsi="Courier New" w:cs="Courier New" w:hint="default"/>
      </w:rPr>
    </w:lvl>
    <w:lvl w:ilvl="8" w:tplc="04100005" w:tentative="1">
      <w:start w:val="1"/>
      <w:numFmt w:val="bullet"/>
      <w:lvlText w:val=""/>
      <w:lvlJc w:val="left"/>
      <w:pPr>
        <w:ind w:left="6196" w:hanging="360"/>
      </w:pPr>
      <w:rPr>
        <w:rFonts w:ascii="Wingdings" w:hAnsi="Wingdings" w:hint="default"/>
      </w:rPr>
    </w:lvl>
  </w:abstractNum>
  <w:abstractNum w:abstractNumId="39" w15:restartNumberingAfterBreak="0">
    <w:nsid w:val="65A24687"/>
    <w:multiLevelType w:val="hybridMultilevel"/>
    <w:tmpl w:val="CC1A774A"/>
    <w:lvl w:ilvl="0" w:tplc="04100003">
      <w:start w:val="1"/>
      <w:numFmt w:val="bullet"/>
      <w:lvlText w:val="o"/>
      <w:lvlJc w:val="left"/>
      <w:pPr>
        <w:ind w:left="1494" w:hanging="360"/>
      </w:pPr>
      <w:rPr>
        <w:rFonts w:ascii="Courier New" w:hAnsi="Courier New" w:cs="Courier New" w:hint="default"/>
      </w:rPr>
    </w:lvl>
    <w:lvl w:ilvl="1" w:tplc="04100003" w:tentative="1">
      <w:start w:val="1"/>
      <w:numFmt w:val="bullet"/>
      <w:lvlText w:val="o"/>
      <w:lvlJc w:val="left"/>
      <w:pPr>
        <w:ind w:left="2214" w:hanging="360"/>
      </w:pPr>
      <w:rPr>
        <w:rFonts w:ascii="Courier New" w:hAnsi="Courier New" w:cs="Courier New" w:hint="default"/>
      </w:rPr>
    </w:lvl>
    <w:lvl w:ilvl="2" w:tplc="04100005" w:tentative="1">
      <w:start w:val="1"/>
      <w:numFmt w:val="bullet"/>
      <w:lvlText w:val=""/>
      <w:lvlJc w:val="left"/>
      <w:pPr>
        <w:ind w:left="2934" w:hanging="360"/>
      </w:pPr>
      <w:rPr>
        <w:rFonts w:ascii="Wingdings" w:hAnsi="Wingdings" w:hint="default"/>
      </w:rPr>
    </w:lvl>
    <w:lvl w:ilvl="3" w:tplc="04100001" w:tentative="1">
      <w:start w:val="1"/>
      <w:numFmt w:val="bullet"/>
      <w:lvlText w:val=""/>
      <w:lvlJc w:val="left"/>
      <w:pPr>
        <w:ind w:left="3654" w:hanging="360"/>
      </w:pPr>
      <w:rPr>
        <w:rFonts w:ascii="Symbol" w:hAnsi="Symbol" w:hint="default"/>
      </w:rPr>
    </w:lvl>
    <w:lvl w:ilvl="4" w:tplc="04100003" w:tentative="1">
      <w:start w:val="1"/>
      <w:numFmt w:val="bullet"/>
      <w:lvlText w:val="o"/>
      <w:lvlJc w:val="left"/>
      <w:pPr>
        <w:ind w:left="4374" w:hanging="360"/>
      </w:pPr>
      <w:rPr>
        <w:rFonts w:ascii="Courier New" w:hAnsi="Courier New" w:cs="Courier New" w:hint="default"/>
      </w:rPr>
    </w:lvl>
    <w:lvl w:ilvl="5" w:tplc="04100005" w:tentative="1">
      <w:start w:val="1"/>
      <w:numFmt w:val="bullet"/>
      <w:lvlText w:val=""/>
      <w:lvlJc w:val="left"/>
      <w:pPr>
        <w:ind w:left="5094" w:hanging="360"/>
      </w:pPr>
      <w:rPr>
        <w:rFonts w:ascii="Wingdings" w:hAnsi="Wingdings" w:hint="default"/>
      </w:rPr>
    </w:lvl>
    <w:lvl w:ilvl="6" w:tplc="04100001" w:tentative="1">
      <w:start w:val="1"/>
      <w:numFmt w:val="bullet"/>
      <w:lvlText w:val=""/>
      <w:lvlJc w:val="left"/>
      <w:pPr>
        <w:ind w:left="5814" w:hanging="360"/>
      </w:pPr>
      <w:rPr>
        <w:rFonts w:ascii="Symbol" w:hAnsi="Symbol" w:hint="default"/>
      </w:rPr>
    </w:lvl>
    <w:lvl w:ilvl="7" w:tplc="04100003" w:tentative="1">
      <w:start w:val="1"/>
      <w:numFmt w:val="bullet"/>
      <w:lvlText w:val="o"/>
      <w:lvlJc w:val="left"/>
      <w:pPr>
        <w:ind w:left="6534" w:hanging="360"/>
      </w:pPr>
      <w:rPr>
        <w:rFonts w:ascii="Courier New" w:hAnsi="Courier New" w:cs="Courier New" w:hint="default"/>
      </w:rPr>
    </w:lvl>
    <w:lvl w:ilvl="8" w:tplc="04100005" w:tentative="1">
      <w:start w:val="1"/>
      <w:numFmt w:val="bullet"/>
      <w:lvlText w:val=""/>
      <w:lvlJc w:val="left"/>
      <w:pPr>
        <w:ind w:left="7254" w:hanging="360"/>
      </w:pPr>
      <w:rPr>
        <w:rFonts w:ascii="Wingdings" w:hAnsi="Wingdings" w:hint="default"/>
      </w:rPr>
    </w:lvl>
  </w:abstractNum>
  <w:abstractNum w:abstractNumId="40" w15:restartNumberingAfterBreak="0">
    <w:nsid w:val="67322DC7"/>
    <w:multiLevelType w:val="hybridMultilevel"/>
    <w:tmpl w:val="0A22FAD2"/>
    <w:lvl w:ilvl="0" w:tplc="0C0ED88E">
      <w:start w:val="1"/>
      <w:numFmt w:val="decimal"/>
      <w:lvlText w:val="%1."/>
      <w:lvlJc w:val="left"/>
      <w:pPr>
        <w:ind w:left="1287" w:hanging="360"/>
      </w:pPr>
      <w:rPr>
        <w:rFonts w:hint="default"/>
        <w:b w:val="0"/>
      </w:rPr>
    </w:lvl>
    <w:lvl w:ilvl="1" w:tplc="04100019">
      <w:start w:val="1"/>
      <w:numFmt w:val="lowerLetter"/>
      <w:lvlText w:val="%2."/>
      <w:lvlJc w:val="left"/>
      <w:pPr>
        <w:ind w:left="2007" w:hanging="360"/>
      </w:pPr>
    </w:lvl>
    <w:lvl w:ilvl="2" w:tplc="0410001B">
      <w:start w:val="1"/>
      <w:numFmt w:val="lowerRoman"/>
      <w:lvlText w:val="%3."/>
      <w:lvlJc w:val="right"/>
      <w:pPr>
        <w:ind w:left="2727" w:hanging="180"/>
      </w:pPr>
    </w:lvl>
    <w:lvl w:ilvl="3" w:tplc="AB94C250">
      <w:numFmt w:val="bullet"/>
      <w:lvlText w:val=""/>
      <w:lvlJc w:val="left"/>
      <w:pPr>
        <w:ind w:left="3447" w:hanging="360"/>
      </w:pPr>
      <w:rPr>
        <w:rFonts w:ascii="Symbol" w:eastAsia="Times New Roman" w:hAnsi="Symbol" w:cs="Open Sans" w:hint="default"/>
      </w:rPr>
    </w:lvl>
    <w:lvl w:ilvl="4" w:tplc="E5D230BC">
      <w:start w:val="1"/>
      <w:numFmt w:val="decimal"/>
      <w:lvlText w:val="%5)"/>
      <w:lvlJc w:val="left"/>
      <w:pPr>
        <w:ind w:left="4167" w:hanging="360"/>
      </w:pPr>
      <w:rPr>
        <w:rFonts w:hint="default"/>
      </w:rPr>
    </w:lvl>
    <w:lvl w:ilvl="5" w:tplc="0410001B" w:tentative="1">
      <w:start w:val="1"/>
      <w:numFmt w:val="lowerRoman"/>
      <w:lvlText w:val="%6."/>
      <w:lvlJc w:val="right"/>
      <w:pPr>
        <w:ind w:left="4887" w:hanging="180"/>
      </w:pPr>
    </w:lvl>
    <w:lvl w:ilvl="6" w:tplc="0410000F" w:tentative="1">
      <w:start w:val="1"/>
      <w:numFmt w:val="decimal"/>
      <w:lvlText w:val="%7."/>
      <w:lvlJc w:val="left"/>
      <w:pPr>
        <w:ind w:left="5607" w:hanging="360"/>
      </w:pPr>
    </w:lvl>
    <w:lvl w:ilvl="7" w:tplc="04100019" w:tentative="1">
      <w:start w:val="1"/>
      <w:numFmt w:val="lowerLetter"/>
      <w:lvlText w:val="%8."/>
      <w:lvlJc w:val="left"/>
      <w:pPr>
        <w:ind w:left="6327" w:hanging="360"/>
      </w:pPr>
    </w:lvl>
    <w:lvl w:ilvl="8" w:tplc="0410001B" w:tentative="1">
      <w:start w:val="1"/>
      <w:numFmt w:val="lowerRoman"/>
      <w:lvlText w:val="%9."/>
      <w:lvlJc w:val="right"/>
      <w:pPr>
        <w:ind w:left="7047" w:hanging="180"/>
      </w:pPr>
    </w:lvl>
  </w:abstractNum>
  <w:abstractNum w:abstractNumId="41" w15:restartNumberingAfterBreak="0">
    <w:nsid w:val="689032A9"/>
    <w:multiLevelType w:val="hybridMultilevel"/>
    <w:tmpl w:val="827A1212"/>
    <w:lvl w:ilvl="0" w:tplc="5A307B9E">
      <w:numFmt w:val="bullet"/>
      <w:lvlText w:val="-"/>
      <w:lvlJc w:val="left"/>
      <w:pPr>
        <w:ind w:left="2421" w:hanging="360"/>
      </w:pPr>
      <w:rPr>
        <w:rFonts w:ascii="Calibri" w:eastAsia="Times New Roman" w:hAnsi="Calibri" w:hint="default"/>
      </w:rPr>
    </w:lvl>
    <w:lvl w:ilvl="1" w:tplc="04100003" w:tentative="1">
      <w:start w:val="1"/>
      <w:numFmt w:val="bullet"/>
      <w:lvlText w:val="o"/>
      <w:lvlJc w:val="left"/>
      <w:pPr>
        <w:ind w:left="3141" w:hanging="360"/>
      </w:pPr>
      <w:rPr>
        <w:rFonts w:ascii="Courier New" w:hAnsi="Courier New" w:cs="Courier New" w:hint="default"/>
      </w:rPr>
    </w:lvl>
    <w:lvl w:ilvl="2" w:tplc="04100005" w:tentative="1">
      <w:start w:val="1"/>
      <w:numFmt w:val="bullet"/>
      <w:lvlText w:val=""/>
      <w:lvlJc w:val="left"/>
      <w:pPr>
        <w:ind w:left="3861" w:hanging="360"/>
      </w:pPr>
      <w:rPr>
        <w:rFonts w:ascii="Wingdings" w:hAnsi="Wingdings" w:hint="default"/>
      </w:rPr>
    </w:lvl>
    <w:lvl w:ilvl="3" w:tplc="04100001" w:tentative="1">
      <w:start w:val="1"/>
      <w:numFmt w:val="bullet"/>
      <w:lvlText w:val=""/>
      <w:lvlJc w:val="left"/>
      <w:pPr>
        <w:ind w:left="4581" w:hanging="360"/>
      </w:pPr>
      <w:rPr>
        <w:rFonts w:ascii="Symbol" w:hAnsi="Symbol" w:hint="default"/>
      </w:rPr>
    </w:lvl>
    <w:lvl w:ilvl="4" w:tplc="04100003" w:tentative="1">
      <w:start w:val="1"/>
      <w:numFmt w:val="bullet"/>
      <w:lvlText w:val="o"/>
      <w:lvlJc w:val="left"/>
      <w:pPr>
        <w:ind w:left="5301" w:hanging="360"/>
      </w:pPr>
      <w:rPr>
        <w:rFonts w:ascii="Courier New" w:hAnsi="Courier New" w:cs="Courier New" w:hint="default"/>
      </w:rPr>
    </w:lvl>
    <w:lvl w:ilvl="5" w:tplc="04100005" w:tentative="1">
      <w:start w:val="1"/>
      <w:numFmt w:val="bullet"/>
      <w:lvlText w:val=""/>
      <w:lvlJc w:val="left"/>
      <w:pPr>
        <w:ind w:left="6021" w:hanging="360"/>
      </w:pPr>
      <w:rPr>
        <w:rFonts w:ascii="Wingdings" w:hAnsi="Wingdings" w:hint="default"/>
      </w:rPr>
    </w:lvl>
    <w:lvl w:ilvl="6" w:tplc="04100001" w:tentative="1">
      <w:start w:val="1"/>
      <w:numFmt w:val="bullet"/>
      <w:lvlText w:val=""/>
      <w:lvlJc w:val="left"/>
      <w:pPr>
        <w:ind w:left="6741" w:hanging="360"/>
      </w:pPr>
      <w:rPr>
        <w:rFonts w:ascii="Symbol" w:hAnsi="Symbol" w:hint="default"/>
      </w:rPr>
    </w:lvl>
    <w:lvl w:ilvl="7" w:tplc="04100003" w:tentative="1">
      <w:start w:val="1"/>
      <w:numFmt w:val="bullet"/>
      <w:lvlText w:val="o"/>
      <w:lvlJc w:val="left"/>
      <w:pPr>
        <w:ind w:left="7461" w:hanging="360"/>
      </w:pPr>
      <w:rPr>
        <w:rFonts w:ascii="Courier New" w:hAnsi="Courier New" w:cs="Courier New" w:hint="default"/>
      </w:rPr>
    </w:lvl>
    <w:lvl w:ilvl="8" w:tplc="04100005" w:tentative="1">
      <w:start w:val="1"/>
      <w:numFmt w:val="bullet"/>
      <w:lvlText w:val=""/>
      <w:lvlJc w:val="left"/>
      <w:pPr>
        <w:ind w:left="8181" w:hanging="360"/>
      </w:pPr>
      <w:rPr>
        <w:rFonts w:ascii="Wingdings" w:hAnsi="Wingdings" w:hint="default"/>
      </w:rPr>
    </w:lvl>
  </w:abstractNum>
  <w:abstractNum w:abstractNumId="42" w15:restartNumberingAfterBreak="0">
    <w:nsid w:val="6B723159"/>
    <w:multiLevelType w:val="hybridMultilevel"/>
    <w:tmpl w:val="CC08054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3" w15:restartNumberingAfterBreak="0">
    <w:nsid w:val="6F3F15C6"/>
    <w:multiLevelType w:val="hybridMultilevel"/>
    <w:tmpl w:val="F74CA79C"/>
    <w:lvl w:ilvl="0" w:tplc="5A307B9E">
      <w:numFmt w:val="bullet"/>
      <w:lvlText w:val="-"/>
      <w:lvlJc w:val="left"/>
      <w:pPr>
        <w:ind w:left="720" w:hanging="360"/>
      </w:pPr>
      <w:rPr>
        <w:rFonts w:ascii="Calibri" w:eastAsia="Times New Roman" w:hAnsi="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4" w15:restartNumberingAfterBreak="0">
    <w:nsid w:val="7A112A51"/>
    <w:multiLevelType w:val="hybridMultilevel"/>
    <w:tmpl w:val="1C4855B8"/>
    <w:lvl w:ilvl="0" w:tplc="04100015">
      <w:start w:val="1"/>
      <w:numFmt w:val="upp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5" w15:restartNumberingAfterBreak="0">
    <w:nsid w:val="7CCB40CB"/>
    <w:multiLevelType w:val="hybridMultilevel"/>
    <w:tmpl w:val="EA58CC4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6" w15:restartNumberingAfterBreak="0">
    <w:nsid w:val="7DCA7541"/>
    <w:multiLevelType w:val="hybridMultilevel"/>
    <w:tmpl w:val="1BF4A2B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7" w15:restartNumberingAfterBreak="0">
    <w:nsid w:val="7FB34F3E"/>
    <w:multiLevelType w:val="hybridMultilevel"/>
    <w:tmpl w:val="7E9CBD1C"/>
    <w:lvl w:ilvl="0" w:tplc="04100001">
      <w:start w:val="1"/>
      <w:numFmt w:val="bullet"/>
      <w:lvlText w:val=""/>
      <w:lvlJc w:val="left"/>
      <w:pPr>
        <w:ind w:left="1440" w:hanging="360"/>
      </w:pPr>
      <w:rPr>
        <w:rFonts w:ascii="Symbol" w:hAnsi="Symbol" w:hint="default"/>
      </w:r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num w:numId="1">
    <w:abstractNumId w:val="38"/>
  </w:num>
  <w:num w:numId="2">
    <w:abstractNumId w:val="35"/>
  </w:num>
  <w:num w:numId="3">
    <w:abstractNumId w:val="18"/>
  </w:num>
  <w:num w:numId="4">
    <w:abstractNumId w:val="2"/>
  </w:num>
  <w:num w:numId="5">
    <w:abstractNumId w:val="40"/>
  </w:num>
  <w:num w:numId="6">
    <w:abstractNumId w:val="13"/>
  </w:num>
  <w:num w:numId="7">
    <w:abstractNumId w:val="41"/>
  </w:num>
  <w:num w:numId="8">
    <w:abstractNumId w:val="5"/>
  </w:num>
  <w:num w:numId="9">
    <w:abstractNumId w:val="27"/>
  </w:num>
  <w:num w:numId="10">
    <w:abstractNumId w:val="19"/>
  </w:num>
  <w:num w:numId="11">
    <w:abstractNumId w:val="23"/>
  </w:num>
  <w:num w:numId="12">
    <w:abstractNumId w:val="37"/>
  </w:num>
  <w:num w:numId="13">
    <w:abstractNumId w:val="34"/>
  </w:num>
  <w:num w:numId="14">
    <w:abstractNumId w:val="31"/>
  </w:num>
  <w:num w:numId="15">
    <w:abstractNumId w:val="20"/>
  </w:num>
  <w:num w:numId="16">
    <w:abstractNumId w:val="9"/>
  </w:num>
  <w:num w:numId="17">
    <w:abstractNumId w:val="4"/>
  </w:num>
  <w:num w:numId="18">
    <w:abstractNumId w:val="12"/>
  </w:num>
  <w:num w:numId="19">
    <w:abstractNumId w:val="1"/>
    <w:lvlOverride w:ilvl="0">
      <w:startOverride w:val="1"/>
    </w:lvlOverride>
    <w:lvlOverride w:ilvl="1"/>
    <w:lvlOverride w:ilvl="2"/>
    <w:lvlOverride w:ilvl="3"/>
    <w:lvlOverride w:ilvl="4"/>
    <w:lvlOverride w:ilvl="5"/>
    <w:lvlOverride w:ilvl="6"/>
    <w:lvlOverride w:ilvl="7"/>
    <w:lvlOverride w:ilvl="8"/>
  </w:num>
  <w:num w:numId="20">
    <w:abstractNumId w:val="1"/>
  </w:num>
  <w:num w:numId="21">
    <w:abstractNumId w:val="30"/>
  </w:num>
  <w:num w:numId="22">
    <w:abstractNumId w:val="21"/>
  </w:num>
  <w:num w:numId="23">
    <w:abstractNumId w:val="11"/>
  </w:num>
  <w:num w:numId="24">
    <w:abstractNumId w:val="22"/>
  </w:num>
  <w:num w:numId="25">
    <w:abstractNumId w:val="47"/>
  </w:num>
  <w:num w:numId="26">
    <w:abstractNumId w:val="25"/>
  </w:num>
  <w:num w:numId="27">
    <w:abstractNumId w:val="46"/>
  </w:num>
  <w:num w:numId="28">
    <w:abstractNumId w:val="3"/>
  </w:num>
  <w:num w:numId="29">
    <w:abstractNumId w:val="43"/>
  </w:num>
  <w:num w:numId="30">
    <w:abstractNumId w:val="17"/>
  </w:num>
  <w:num w:numId="31">
    <w:abstractNumId w:val="39"/>
  </w:num>
  <w:num w:numId="32">
    <w:abstractNumId w:val="44"/>
  </w:num>
  <w:num w:numId="33">
    <w:abstractNumId w:val="6"/>
  </w:num>
  <w:num w:numId="34">
    <w:abstractNumId w:val="36"/>
  </w:num>
  <w:num w:numId="35">
    <w:abstractNumId w:val="15"/>
  </w:num>
  <w:num w:numId="36">
    <w:abstractNumId w:val="7"/>
  </w:num>
  <w:num w:numId="37">
    <w:abstractNumId w:val="32"/>
  </w:num>
  <w:num w:numId="38">
    <w:abstractNumId w:val="28"/>
  </w:num>
  <w:num w:numId="39">
    <w:abstractNumId w:val="0"/>
  </w:num>
  <w:num w:numId="40">
    <w:abstractNumId w:val="10"/>
  </w:num>
  <w:num w:numId="41">
    <w:abstractNumId w:val="42"/>
  </w:num>
  <w:num w:numId="42">
    <w:abstractNumId w:val="29"/>
  </w:num>
  <w:num w:numId="43">
    <w:abstractNumId w:val="33"/>
  </w:num>
  <w:num w:numId="44">
    <w:abstractNumId w:val="14"/>
  </w:num>
  <w:num w:numId="45">
    <w:abstractNumId w:val="24"/>
  </w:num>
  <w:num w:numId="46">
    <w:abstractNumId w:val="8"/>
  </w:num>
  <w:num w:numId="47">
    <w:abstractNumId w:val="16"/>
  </w:num>
  <w:num w:numId="48">
    <w:abstractNumId w:val="45"/>
  </w:num>
  <w:num w:numId="49">
    <w:abstractNumId w:val="2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displayBackgroundShape/>
  <w:embedTrueTypeFonts/>
  <w:proofState w:grammar="clean"/>
  <w:documentProtection w:edit="readOnly" w:formatting="1" w:enforcement="0"/>
  <w:defaultTabStop w:val="567"/>
  <w:hyphenationZone w:val="283"/>
  <w:characterSpacingControl w:val="doNotCompress"/>
  <w:hdrShapeDefaults>
    <o:shapedefaults v:ext="edit" spidmax="2049">
      <o:colormru v:ext="edit" colors="#aab964,#e9e8e5"/>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0DC6"/>
    <w:rsid w:val="00001EB0"/>
    <w:rsid w:val="000025B1"/>
    <w:rsid w:val="00012C6A"/>
    <w:rsid w:val="0002673A"/>
    <w:rsid w:val="00037787"/>
    <w:rsid w:val="00042498"/>
    <w:rsid w:val="00042FC6"/>
    <w:rsid w:val="00044A66"/>
    <w:rsid w:val="0004797B"/>
    <w:rsid w:val="00053C12"/>
    <w:rsid w:val="0005436A"/>
    <w:rsid w:val="000716E6"/>
    <w:rsid w:val="000760AA"/>
    <w:rsid w:val="00076419"/>
    <w:rsid w:val="000A2A21"/>
    <w:rsid w:val="000A6DCD"/>
    <w:rsid w:val="000B13C4"/>
    <w:rsid w:val="000C7B60"/>
    <w:rsid w:val="000C7D1E"/>
    <w:rsid w:val="000D033B"/>
    <w:rsid w:val="000D220C"/>
    <w:rsid w:val="000D7E76"/>
    <w:rsid w:val="000E0604"/>
    <w:rsid w:val="000E54F4"/>
    <w:rsid w:val="000E62CA"/>
    <w:rsid w:val="000F0F49"/>
    <w:rsid w:val="000F4524"/>
    <w:rsid w:val="0010783E"/>
    <w:rsid w:val="00110E81"/>
    <w:rsid w:val="00117199"/>
    <w:rsid w:val="00121934"/>
    <w:rsid w:val="00124456"/>
    <w:rsid w:val="001248D4"/>
    <w:rsid w:val="00125590"/>
    <w:rsid w:val="00125E1D"/>
    <w:rsid w:val="00126172"/>
    <w:rsid w:val="00136B05"/>
    <w:rsid w:val="001466C8"/>
    <w:rsid w:val="001527F2"/>
    <w:rsid w:val="001645E9"/>
    <w:rsid w:val="00165044"/>
    <w:rsid w:val="001652C8"/>
    <w:rsid w:val="00166374"/>
    <w:rsid w:val="001827C7"/>
    <w:rsid w:val="00185D6C"/>
    <w:rsid w:val="00187402"/>
    <w:rsid w:val="0019095B"/>
    <w:rsid w:val="0019414F"/>
    <w:rsid w:val="001A0679"/>
    <w:rsid w:val="001B207A"/>
    <w:rsid w:val="001B41AC"/>
    <w:rsid w:val="001C1791"/>
    <w:rsid w:val="001C758A"/>
    <w:rsid w:val="001D3537"/>
    <w:rsid w:val="001E6BF7"/>
    <w:rsid w:val="001F60C8"/>
    <w:rsid w:val="001F7E5B"/>
    <w:rsid w:val="00201141"/>
    <w:rsid w:val="002135D0"/>
    <w:rsid w:val="0022046A"/>
    <w:rsid w:val="00222FEB"/>
    <w:rsid w:val="0022758B"/>
    <w:rsid w:val="00231127"/>
    <w:rsid w:val="00240235"/>
    <w:rsid w:val="002472A0"/>
    <w:rsid w:val="0026339E"/>
    <w:rsid w:val="002661D0"/>
    <w:rsid w:val="002731AF"/>
    <w:rsid w:val="002751DD"/>
    <w:rsid w:val="00281C64"/>
    <w:rsid w:val="002870B5"/>
    <w:rsid w:val="002A0255"/>
    <w:rsid w:val="002A6D15"/>
    <w:rsid w:val="002B18FA"/>
    <w:rsid w:val="002D1BF4"/>
    <w:rsid w:val="002D2B80"/>
    <w:rsid w:val="002D3B8E"/>
    <w:rsid w:val="002D5489"/>
    <w:rsid w:val="002F08E7"/>
    <w:rsid w:val="002F371A"/>
    <w:rsid w:val="002F42A6"/>
    <w:rsid w:val="002F77DB"/>
    <w:rsid w:val="00303F62"/>
    <w:rsid w:val="00305A49"/>
    <w:rsid w:val="00312100"/>
    <w:rsid w:val="00314D54"/>
    <w:rsid w:val="00320A5A"/>
    <w:rsid w:val="00320DB3"/>
    <w:rsid w:val="0032359D"/>
    <w:rsid w:val="00325C4D"/>
    <w:rsid w:val="00337420"/>
    <w:rsid w:val="003374D7"/>
    <w:rsid w:val="00342DA3"/>
    <w:rsid w:val="00343853"/>
    <w:rsid w:val="00345F1B"/>
    <w:rsid w:val="003571B6"/>
    <w:rsid w:val="00363CBD"/>
    <w:rsid w:val="00376FE7"/>
    <w:rsid w:val="00380A95"/>
    <w:rsid w:val="003A6E30"/>
    <w:rsid w:val="003B2C52"/>
    <w:rsid w:val="003B3349"/>
    <w:rsid w:val="003B67C3"/>
    <w:rsid w:val="003C00F4"/>
    <w:rsid w:val="003C3460"/>
    <w:rsid w:val="003C3A07"/>
    <w:rsid w:val="003D20DE"/>
    <w:rsid w:val="003D3566"/>
    <w:rsid w:val="003D530A"/>
    <w:rsid w:val="003E44CB"/>
    <w:rsid w:val="003E4912"/>
    <w:rsid w:val="003F2D5F"/>
    <w:rsid w:val="003F4D8A"/>
    <w:rsid w:val="003F6A7E"/>
    <w:rsid w:val="00404615"/>
    <w:rsid w:val="00407D7D"/>
    <w:rsid w:val="004102CD"/>
    <w:rsid w:val="00413E45"/>
    <w:rsid w:val="00415680"/>
    <w:rsid w:val="0042190C"/>
    <w:rsid w:val="0042311A"/>
    <w:rsid w:val="00431DC7"/>
    <w:rsid w:val="00453CAB"/>
    <w:rsid w:val="004705DD"/>
    <w:rsid w:val="00477F23"/>
    <w:rsid w:val="00482784"/>
    <w:rsid w:val="00482BE4"/>
    <w:rsid w:val="00487B09"/>
    <w:rsid w:val="004A0CED"/>
    <w:rsid w:val="004A5235"/>
    <w:rsid w:val="004A5CEA"/>
    <w:rsid w:val="004A5E17"/>
    <w:rsid w:val="004B4F6A"/>
    <w:rsid w:val="004D00C0"/>
    <w:rsid w:val="004F6C3E"/>
    <w:rsid w:val="00512441"/>
    <w:rsid w:val="00513480"/>
    <w:rsid w:val="00514AD2"/>
    <w:rsid w:val="00527C8C"/>
    <w:rsid w:val="005306AB"/>
    <w:rsid w:val="00540A65"/>
    <w:rsid w:val="00540A99"/>
    <w:rsid w:val="00550CD2"/>
    <w:rsid w:val="00551C10"/>
    <w:rsid w:val="00553DFB"/>
    <w:rsid w:val="005549D3"/>
    <w:rsid w:val="00565E9E"/>
    <w:rsid w:val="00575527"/>
    <w:rsid w:val="00590AFE"/>
    <w:rsid w:val="005D03AB"/>
    <w:rsid w:val="005D50EA"/>
    <w:rsid w:val="005D68A0"/>
    <w:rsid w:val="005D7950"/>
    <w:rsid w:val="005D7AD5"/>
    <w:rsid w:val="005E2818"/>
    <w:rsid w:val="005E6EEB"/>
    <w:rsid w:val="005F195A"/>
    <w:rsid w:val="005F502C"/>
    <w:rsid w:val="0060389C"/>
    <w:rsid w:val="006067C8"/>
    <w:rsid w:val="00610A9B"/>
    <w:rsid w:val="00620631"/>
    <w:rsid w:val="00621640"/>
    <w:rsid w:val="006254B1"/>
    <w:rsid w:val="006309DE"/>
    <w:rsid w:val="00645ACF"/>
    <w:rsid w:val="00672B9A"/>
    <w:rsid w:val="006764D4"/>
    <w:rsid w:val="0068210A"/>
    <w:rsid w:val="00696575"/>
    <w:rsid w:val="006A2B98"/>
    <w:rsid w:val="006A64D8"/>
    <w:rsid w:val="006C0381"/>
    <w:rsid w:val="006C2A5F"/>
    <w:rsid w:val="006D1848"/>
    <w:rsid w:val="006D1A0E"/>
    <w:rsid w:val="006D467D"/>
    <w:rsid w:val="006E6087"/>
    <w:rsid w:val="006F7DFE"/>
    <w:rsid w:val="007012DA"/>
    <w:rsid w:val="00704892"/>
    <w:rsid w:val="00724579"/>
    <w:rsid w:val="00744ADA"/>
    <w:rsid w:val="00744EA8"/>
    <w:rsid w:val="0075512A"/>
    <w:rsid w:val="00757C77"/>
    <w:rsid w:val="0076086B"/>
    <w:rsid w:val="007636F1"/>
    <w:rsid w:val="00766EBC"/>
    <w:rsid w:val="007763C2"/>
    <w:rsid w:val="007776D8"/>
    <w:rsid w:val="00780615"/>
    <w:rsid w:val="007958F2"/>
    <w:rsid w:val="007A3D0A"/>
    <w:rsid w:val="007A5303"/>
    <w:rsid w:val="007B1189"/>
    <w:rsid w:val="007B4C9A"/>
    <w:rsid w:val="007C32CD"/>
    <w:rsid w:val="007F7C0F"/>
    <w:rsid w:val="00814D15"/>
    <w:rsid w:val="00825A35"/>
    <w:rsid w:val="008363B8"/>
    <w:rsid w:val="00855633"/>
    <w:rsid w:val="00861799"/>
    <w:rsid w:val="00863CF4"/>
    <w:rsid w:val="008763D6"/>
    <w:rsid w:val="0088129E"/>
    <w:rsid w:val="00883FD3"/>
    <w:rsid w:val="008A1024"/>
    <w:rsid w:val="008A1B82"/>
    <w:rsid w:val="008A5AD1"/>
    <w:rsid w:val="008B565F"/>
    <w:rsid w:val="008C1ED4"/>
    <w:rsid w:val="008F2D4C"/>
    <w:rsid w:val="008F5E76"/>
    <w:rsid w:val="008F6A8A"/>
    <w:rsid w:val="008F7567"/>
    <w:rsid w:val="00910F4E"/>
    <w:rsid w:val="00914CB9"/>
    <w:rsid w:val="00923466"/>
    <w:rsid w:val="009428DB"/>
    <w:rsid w:val="00944857"/>
    <w:rsid w:val="00950B24"/>
    <w:rsid w:val="00952792"/>
    <w:rsid w:val="00952D25"/>
    <w:rsid w:val="00966F3B"/>
    <w:rsid w:val="00977E6F"/>
    <w:rsid w:val="00987142"/>
    <w:rsid w:val="009C3411"/>
    <w:rsid w:val="009C63B5"/>
    <w:rsid w:val="009C75B2"/>
    <w:rsid w:val="009E1B2F"/>
    <w:rsid w:val="009F3F3F"/>
    <w:rsid w:val="009F67A0"/>
    <w:rsid w:val="00A11904"/>
    <w:rsid w:val="00A12843"/>
    <w:rsid w:val="00A14CF0"/>
    <w:rsid w:val="00A24E6B"/>
    <w:rsid w:val="00A2572C"/>
    <w:rsid w:val="00A25772"/>
    <w:rsid w:val="00A316C6"/>
    <w:rsid w:val="00A41B12"/>
    <w:rsid w:val="00A57402"/>
    <w:rsid w:val="00A61F5C"/>
    <w:rsid w:val="00A70522"/>
    <w:rsid w:val="00A72C3A"/>
    <w:rsid w:val="00A9491D"/>
    <w:rsid w:val="00AA13D4"/>
    <w:rsid w:val="00AA5CA2"/>
    <w:rsid w:val="00AB1FE9"/>
    <w:rsid w:val="00AB2D19"/>
    <w:rsid w:val="00AB671B"/>
    <w:rsid w:val="00AB6A9C"/>
    <w:rsid w:val="00AC297C"/>
    <w:rsid w:val="00AC4F2D"/>
    <w:rsid w:val="00AE3268"/>
    <w:rsid w:val="00AE53AF"/>
    <w:rsid w:val="00AE7454"/>
    <w:rsid w:val="00AE769C"/>
    <w:rsid w:val="00AF0F3D"/>
    <w:rsid w:val="00AF733E"/>
    <w:rsid w:val="00B01AB1"/>
    <w:rsid w:val="00B01FFC"/>
    <w:rsid w:val="00B0499C"/>
    <w:rsid w:val="00B16773"/>
    <w:rsid w:val="00B21909"/>
    <w:rsid w:val="00B334E1"/>
    <w:rsid w:val="00B3450B"/>
    <w:rsid w:val="00B4283E"/>
    <w:rsid w:val="00B80D88"/>
    <w:rsid w:val="00B85490"/>
    <w:rsid w:val="00B86319"/>
    <w:rsid w:val="00B86B81"/>
    <w:rsid w:val="00B91954"/>
    <w:rsid w:val="00B94D6E"/>
    <w:rsid w:val="00BA3540"/>
    <w:rsid w:val="00BA4BC8"/>
    <w:rsid w:val="00BB59B2"/>
    <w:rsid w:val="00BB6C9C"/>
    <w:rsid w:val="00BB79EB"/>
    <w:rsid w:val="00BC1CBB"/>
    <w:rsid w:val="00BC5875"/>
    <w:rsid w:val="00BC7783"/>
    <w:rsid w:val="00BD0F74"/>
    <w:rsid w:val="00BD726E"/>
    <w:rsid w:val="00BE12EF"/>
    <w:rsid w:val="00BF2B6A"/>
    <w:rsid w:val="00C07107"/>
    <w:rsid w:val="00C0711F"/>
    <w:rsid w:val="00C11A20"/>
    <w:rsid w:val="00C14FA0"/>
    <w:rsid w:val="00C21E0E"/>
    <w:rsid w:val="00C35743"/>
    <w:rsid w:val="00C37575"/>
    <w:rsid w:val="00C47A30"/>
    <w:rsid w:val="00C50AB6"/>
    <w:rsid w:val="00C5194E"/>
    <w:rsid w:val="00C56DC9"/>
    <w:rsid w:val="00C65636"/>
    <w:rsid w:val="00C6600C"/>
    <w:rsid w:val="00C70602"/>
    <w:rsid w:val="00C70A61"/>
    <w:rsid w:val="00C80521"/>
    <w:rsid w:val="00C82C88"/>
    <w:rsid w:val="00C874DB"/>
    <w:rsid w:val="00C87801"/>
    <w:rsid w:val="00C90370"/>
    <w:rsid w:val="00CA147D"/>
    <w:rsid w:val="00CA2927"/>
    <w:rsid w:val="00CA72DE"/>
    <w:rsid w:val="00CB49E8"/>
    <w:rsid w:val="00CC07CF"/>
    <w:rsid w:val="00CD002E"/>
    <w:rsid w:val="00CD4812"/>
    <w:rsid w:val="00CF0F0C"/>
    <w:rsid w:val="00CF38D0"/>
    <w:rsid w:val="00D20DC6"/>
    <w:rsid w:val="00D2681B"/>
    <w:rsid w:val="00D2735A"/>
    <w:rsid w:val="00D349C9"/>
    <w:rsid w:val="00D34C7F"/>
    <w:rsid w:val="00D52748"/>
    <w:rsid w:val="00D537FA"/>
    <w:rsid w:val="00D62A9F"/>
    <w:rsid w:val="00D64443"/>
    <w:rsid w:val="00D67106"/>
    <w:rsid w:val="00D71A26"/>
    <w:rsid w:val="00D7307A"/>
    <w:rsid w:val="00D752A1"/>
    <w:rsid w:val="00D8409C"/>
    <w:rsid w:val="00D9730C"/>
    <w:rsid w:val="00DA49A8"/>
    <w:rsid w:val="00DB1BB7"/>
    <w:rsid w:val="00DB7E07"/>
    <w:rsid w:val="00DD6E04"/>
    <w:rsid w:val="00DF13B2"/>
    <w:rsid w:val="00DF1B04"/>
    <w:rsid w:val="00E01FBA"/>
    <w:rsid w:val="00E11E44"/>
    <w:rsid w:val="00E156F2"/>
    <w:rsid w:val="00E162A7"/>
    <w:rsid w:val="00E30344"/>
    <w:rsid w:val="00E337DC"/>
    <w:rsid w:val="00E41AFE"/>
    <w:rsid w:val="00E42676"/>
    <w:rsid w:val="00E44356"/>
    <w:rsid w:val="00E55B13"/>
    <w:rsid w:val="00E60C73"/>
    <w:rsid w:val="00E6260A"/>
    <w:rsid w:val="00E63AA0"/>
    <w:rsid w:val="00E71DB4"/>
    <w:rsid w:val="00E72F18"/>
    <w:rsid w:val="00E74030"/>
    <w:rsid w:val="00E80D7C"/>
    <w:rsid w:val="00E95C86"/>
    <w:rsid w:val="00E96C20"/>
    <w:rsid w:val="00EA0B93"/>
    <w:rsid w:val="00EA0CC4"/>
    <w:rsid w:val="00EB0B0F"/>
    <w:rsid w:val="00EB1C54"/>
    <w:rsid w:val="00EB232A"/>
    <w:rsid w:val="00EC2C2B"/>
    <w:rsid w:val="00EC3F58"/>
    <w:rsid w:val="00EC500A"/>
    <w:rsid w:val="00EC66BF"/>
    <w:rsid w:val="00ED15ED"/>
    <w:rsid w:val="00ED21FB"/>
    <w:rsid w:val="00ED6810"/>
    <w:rsid w:val="00EE3D33"/>
    <w:rsid w:val="00F05362"/>
    <w:rsid w:val="00F059EB"/>
    <w:rsid w:val="00F11AA6"/>
    <w:rsid w:val="00F16B5F"/>
    <w:rsid w:val="00F231EE"/>
    <w:rsid w:val="00F27A47"/>
    <w:rsid w:val="00F349A8"/>
    <w:rsid w:val="00F35A05"/>
    <w:rsid w:val="00F37A17"/>
    <w:rsid w:val="00F408F1"/>
    <w:rsid w:val="00F45D19"/>
    <w:rsid w:val="00F57880"/>
    <w:rsid w:val="00F60F58"/>
    <w:rsid w:val="00F618FC"/>
    <w:rsid w:val="00F64382"/>
    <w:rsid w:val="00F7015B"/>
    <w:rsid w:val="00F72193"/>
    <w:rsid w:val="00F751C6"/>
    <w:rsid w:val="00F81DB3"/>
    <w:rsid w:val="00F84D5A"/>
    <w:rsid w:val="00FB1D27"/>
    <w:rsid w:val="00FC0A90"/>
    <w:rsid w:val="00FC755F"/>
    <w:rsid w:val="00FD1780"/>
    <w:rsid w:val="00FD2339"/>
    <w:rsid w:val="00FD6465"/>
    <w:rsid w:val="00FE07E1"/>
    <w:rsid w:val="00FE4D74"/>
    <w:rsid w:val="00FE5169"/>
    <w:rsid w:val="00FE6332"/>
    <w:rsid w:val="00FF6825"/>
    <w:rsid w:val="00FF6BE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aab964,#e9e8e5"/>
    </o:shapedefaults>
    <o:shapelayout v:ext="edit">
      <o:idmap v:ext="edit" data="1"/>
    </o:shapelayout>
  </w:shapeDefaults>
  <w:decimalSymbol w:val=","/>
  <w:listSeparator w:val=";"/>
  <w14:docId w14:val="2B3CD9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02673A"/>
    <w:pPr>
      <w:spacing w:before="300" w:after="200" w:line="300" w:lineRule="auto"/>
      <w:jc w:val="both"/>
    </w:pPr>
    <w:rPr>
      <w:rFonts w:ascii="Open Sans" w:hAnsi="Open Sans" w:cs="Open Sans"/>
      <w:color w:val="534D49"/>
      <w:szCs w:val="22"/>
    </w:rPr>
  </w:style>
  <w:style w:type="paragraph" w:styleId="Titolo1">
    <w:name w:val="heading 1"/>
    <w:basedOn w:val="Normale"/>
    <w:next w:val="Normale"/>
    <w:link w:val="Titolo1Carattere"/>
    <w:autoRedefine/>
    <w:uiPriority w:val="9"/>
    <w:qFormat/>
    <w:rsid w:val="00342DA3"/>
    <w:pPr>
      <w:keepNext/>
      <w:keepLines/>
      <w:numPr>
        <w:numId w:val="2"/>
      </w:numPr>
      <w:tabs>
        <w:tab w:val="left" w:pos="709"/>
      </w:tabs>
      <w:spacing w:before="480" w:after="0"/>
      <w:ind w:left="993" w:hanging="993"/>
      <w:outlineLvl w:val="0"/>
    </w:pPr>
    <w:rPr>
      <w:rFonts w:ascii="Titillium Web" w:hAnsi="Titillium Web"/>
      <w:b/>
      <w:bCs/>
      <w:color w:val="821B4C"/>
      <w:sz w:val="40"/>
      <w:szCs w:val="28"/>
    </w:rPr>
  </w:style>
  <w:style w:type="paragraph" w:styleId="Titolo2">
    <w:name w:val="heading 2"/>
    <w:basedOn w:val="Normale"/>
    <w:next w:val="Normale"/>
    <w:link w:val="Titolo2Carattere"/>
    <w:uiPriority w:val="9"/>
    <w:unhideWhenUsed/>
    <w:qFormat/>
    <w:rsid w:val="00672B9A"/>
    <w:pPr>
      <w:keepNext/>
      <w:keepLines/>
      <w:numPr>
        <w:ilvl w:val="1"/>
        <w:numId w:val="2"/>
      </w:numPr>
      <w:tabs>
        <w:tab w:val="left" w:pos="709"/>
      </w:tabs>
      <w:spacing w:after="0" w:line="360" w:lineRule="auto"/>
      <w:ind w:left="993" w:hanging="993"/>
      <w:outlineLvl w:val="1"/>
    </w:pPr>
    <w:rPr>
      <w:rFonts w:ascii="Titillium Web" w:hAnsi="Titillium Web"/>
      <w:b/>
      <w:bCs/>
      <w:sz w:val="32"/>
      <w:szCs w:val="26"/>
    </w:rPr>
  </w:style>
  <w:style w:type="paragraph" w:styleId="Titolo3">
    <w:name w:val="heading 3"/>
    <w:basedOn w:val="Titolo2"/>
    <w:next w:val="Normale"/>
    <w:link w:val="Titolo3Carattere"/>
    <w:autoRedefine/>
    <w:uiPriority w:val="9"/>
    <w:unhideWhenUsed/>
    <w:qFormat/>
    <w:rsid w:val="00BB59B2"/>
    <w:pPr>
      <w:numPr>
        <w:ilvl w:val="2"/>
      </w:numPr>
      <w:spacing w:line="240" w:lineRule="auto"/>
      <w:ind w:left="709" w:hanging="709"/>
      <w:outlineLvl w:val="2"/>
    </w:pPr>
    <w:rPr>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link w:val="Titolo1"/>
    <w:uiPriority w:val="9"/>
    <w:rsid w:val="00342DA3"/>
    <w:rPr>
      <w:rFonts w:ascii="Titillium Web" w:hAnsi="Titillium Web" w:cs="Open Sans"/>
      <w:b/>
      <w:bCs/>
      <w:color w:val="821B4C"/>
      <w:sz w:val="40"/>
      <w:szCs w:val="28"/>
    </w:rPr>
  </w:style>
  <w:style w:type="paragraph" w:styleId="Intestazione">
    <w:name w:val="header"/>
    <w:basedOn w:val="Normale"/>
    <w:link w:val="IntestazioneCarattere"/>
    <w:uiPriority w:val="99"/>
    <w:unhideWhenUsed/>
    <w:rsid w:val="00DB7E07"/>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DB7E07"/>
  </w:style>
  <w:style w:type="paragraph" w:styleId="Pidipagina">
    <w:name w:val="footer"/>
    <w:basedOn w:val="Normale"/>
    <w:link w:val="PidipaginaCarattere"/>
    <w:uiPriority w:val="99"/>
    <w:unhideWhenUsed/>
    <w:rsid w:val="00DB7E07"/>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DB7E07"/>
  </w:style>
  <w:style w:type="paragraph" w:styleId="Testofumetto">
    <w:name w:val="Balloon Text"/>
    <w:basedOn w:val="Normale"/>
    <w:link w:val="TestofumettoCarattere"/>
    <w:uiPriority w:val="99"/>
    <w:semiHidden/>
    <w:unhideWhenUsed/>
    <w:rsid w:val="00DB7E07"/>
    <w:pPr>
      <w:spacing w:after="0" w:line="240" w:lineRule="auto"/>
    </w:pPr>
    <w:rPr>
      <w:rFonts w:ascii="Tahoma" w:hAnsi="Tahoma" w:cs="Tahoma"/>
      <w:sz w:val="16"/>
      <w:szCs w:val="16"/>
    </w:rPr>
  </w:style>
  <w:style w:type="character" w:customStyle="1" w:styleId="TestofumettoCarattere">
    <w:name w:val="Testo fumetto Carattere"/>
    <w:link w:val="Testofumetto"/>
    <w:uiPriority w:val="99"/>
    <w:semiHidden/>
    <w:rsid w:val="00DB7E07"/>
    <w:rPr>
      <w:rFonts w:ascii="Tahoma" w:hAnsi="Tahoma" w:cs="Tahoma"/>
      <w:sz w:val="16"/>
      <w:szCs w:val="16"/>
    </w:rPr>
  </w:style>
  <w:style w:type="character" w:customStyle="1" w:styleId="Titolo2Carattere">
    <w:name w:val="Titolo 2 Carattere"/>
    <w:link w:val="Titolo2"/>
    <w:uiPriority w:val="9"/>
    <w:rsid w:val="00672B9A"/>
    <w:rPr>
      <w:rFonts w:ascii="Titillium Web" w:hAnsi="Titillium Web" w:cs="Open Sans"/>
      <w:b/>
      <w:bCs/>
      <w:color w:val="534D49"/>
      <w:sz w:val="32"/>
      <w:szCs w:val="26"/>
    </w:rPr>
  </w:style>
  <w:style w:type="paragraph" w:styleId="Titolo">
    <w:name w:val="Title"/>
    <w:basedOn w:val="Normale"/>
    <w:next w:val="Normale"/>
    <w:link w:val="TitoloCarattere"/>
    <w:uiPriority w:val="10"/>
    <w:rsid w:val="00DB7E07"/>
    <w:pPr>
      <w:pBdr>
        <w:bottom w:val="single" w:sz="8" w:space="4" w:color="4F81BD"/>
      </w:pBdr>
      <w:spacing w:after="300" w:line="240" w:lineRule="auto"/>
      <w:contextualSpacing/>
    </w:pPr>
    <w:rPr>
      <w:rFonts w:ascii="Cambria" w:hAnsi="Cambria"/>
      <w:color w:val="17365D"/>
      <w:spacing w:val="5"/>
      <w:kern w:val="28"/>
      <w:sz w:val="52"/>
      <w:szCs w:val="52"/>
    </w:rPr>
  </w:style>
  <w:style w:type="character" w:customStyle="1" w:styleId="TitoloCarattere">
    <w:name w:val="Titolo Carattere"/>
    <w:link w:val="Titolo"/>
    <w:uiPriority w:val="10"/>
    <w:rsid w:val="00DB7E07"/>
    <w:rPr>
      <w:rFonts w:ascii="Cambria" w:eastAsia="Times New Roman" w:hAnsi="Cambria" w:cs="Times New Roman"/>
      <w:color w:val="17365D"/>
      <w:spacing w:val="5"/>
      <w:kern w:val="28"/>
      <w:sz w:val="52"/>
      <w:szCs w:val="52"/>
    </w:rPr>
  </w:style>
  <w:style w:type="paragraph" w:styleId="Sottotitolo">
    <w:name w:val="Subtitle"/>
    <w:basedOn w:val="Normale"/>
    <w:next w:val="Normale"/>
    <w:link w:val="SottotitoloCarattere"/>
    <w:uiPriority w:val="11"/>
    <w:rsid w:val="00DB7E07"/>
    <w:pPr>
      <w:numPr>
        <w:ilvl w:val="1"/>
      </w:numPr>
    </w:pPr>
    <w:rPr>
      <w:rFonts w:ascii="Cambria" w:hAnsi="Cambria"/>
      <w:i/>
      <w:iCs/>
      <w:color w:val="4F81BD"/>
      <w:spacing w:val="15"/>
      <w:szCs w:val="24"/>
    </w:rPr>
  </w:style>
  <w:style w:type="character" w:customStyle="1" w:styleId="SottotitoloCarattere">
    <w:name w:val="Sottotitolo Carattere"/>
    <w:link w:val="Sottotitolo"/>
    <w:uiPriority w:val="11"/>
    <w:rsid w:val="00DB7E07"/>
    <w:rPr>
      <w:rFonts w:ascii="Cambria" w:eastAsia="Times New Roman" w:hAnsi="Cambria" w:cs="Times New Roman"/>
      <w:i/>
      <w:iCs/>
      <w:color w:val="4F81BD"/>
      <w:spacing w:val="15"/>
      <w:sz w:val="24"/>
      <w:szCs w:val="24"/>
    </w:rPr>
  </w:style>
  <w:style w:type="paragraph" w:styleId="Nessunaspaziatura">
    <w:name w:val="No Spacing"/>
    <w:link w:val="NessunaspaziaturaCarattere"/>
    <w:uiPriority w:val="1"/>
    <w:rsid w:val="00012C6A"/>
    <w:rPr>
      <w:rFonts w:asciiTheme="minorHAnsi" w:eastAsiaTheme="minorEastAsia" w:hAnsiTheme="minorHAnsi" w:cstheme="minorBidi"/>
      <w:sz w:val="22"/>
      <w:szCs w:val="22"/>
    </w:rPr>
  </w:style>
  <w:style w:type="character" w:customStyle="1" w:styleId="NessunaspaziaturaCarattere">
    <w:name w:val="Nessuna spaziatura Carattere"/>
    <w:basedOn w:val="Carpredefinitoparagrafo"/>
    <w:link w:val="Nessunaspaziatura"/>
    <w:uiPriority w:val="1"/>
    <w:rsid w:val="00012C6A"/>
    <w:rPr>
      <w:rFonts w:asciiTheme="minorHAnsi" w:eastAsiaTheme="minorEastAsia" w:hAnsiTheme="minorHAnsi" w:cstheme="minorBidi"/>
      <w:sz w:val="22"/>
      <w:szCs w:val="22"/>
    </w:rPr>
  </w:style>
  <w:style w:type="character" w:styleId="Testosegnaposto">
    <w:name w:val="Placeholder Text"/>
    <w:basedOn w:val="Carpredefinitoparagrafo"/>
    <w:uiPriority w:val="99"/>
    <w:semiHidden/>
    <w:rsid w:val="00124456"/>
    <w:rPr>
      <w:color w:val="808080"/>
    </w:rPr>
  </w:style>
  <w:style w:type="character" w:styleId="Titolodellibro">
    <w:name w:val="Book Title"/>
    <w:basedOn w:val="Carpredefinitoparagrafo"/>
    <w:uiPriority w:val="33"/>
    <w:rsid w:val="003F4D8A"/>
    <w:rPr>
      <w:b/>
      <w:bCs/>
      <w:smallCaps/>
      <w:spacing w:val="5"/>
    </w:rPr>
  </w:style>
  <w:style w:type="paragraph" w:styleId="Titolosommario">
    <w:name w:val="TOC Heading"/>
    <w:basedOn w:val="Titolo1"/>
    <w:next w:val="Normale"/>
    <w:uiPriority w:val="39"/>
    <w:unhideWhenUsed/>
    <w:rsid w:val="006C2A5F"/>
    <w:pPr>
      <w:outlineLvl w:val="9"/>
    </w:pPr>
    <w:rPr>
      <w:rFonts w:asciiTheme="majorHAnsi" w:eastAsiaTheme="majorEastAsia" w:hAnsiTheme="majorHAnsi" w:cstheme="majorBidi"/>
      <w:color w:val="365F91" w:themeColor="accent1" w:themeShade="BF"/>
    </w:rPr>
  </w:style>
  <w:style w:type="paragraph" w:styleId="Sommario1">
    <w:name w:val="toc 1"/>
    <w:aliases w:val="Sommario Livello 1"/>
    <w:basedOn w:val="Normale"/>
    <w:next w:val="Normale"/>
    <w:link w:val="Sommario1Carattere"/>
    <w:autoRedefine/>
    <w:uiPriority w:val="39"/>
    <w:unhideWhenUsed/>
    <w:qFormat/>
    <w:rsid w:val="00A70522"/>
    <w:pPr>
      <w:tabs>
        <w:tab w:val="right" w:leader="dot" w:pos="9628"/>
      </w:tabs>
      <w:spacing w:before="360" w:after="360"/>
    </w:pPr>
    <w:rPr>
      <w:rFonts w:ascii="Titillium Web" w:hAnsi="Titillium Web"/>
      <w:b/>
      <w:bCs/>
      <w:caps/>
      <w:color w:val="821B4C"/>
      <w:sz w:val="24"/>
    </w:rPr>
  </w:style>
  <w:style w:type="paragraph" w:styleId="Sommario2">
    <w:name w:val="toc 2"/>
    <w:aliases w:val="Sommario Livello 2"/>
    <w:basedOn w:val="Normale"/>
    <w:next w:val="Normale"/>
    <w:autoRedefine/>
    <w:uiPriority w:val="39"/>
    <w:unhideWhenUsed/>
    <w:qFormat/>
    <w:rsid w:val="003E4912"/>
    <w:pPr>
      <w:tabs>
        <w:tab w:val="right" w:leader="dot" w:pos="9628"/>
      </w:tabs>
      <w:spacing w:after="0"/>
      <w:ind w:left="284"/>
    </w:pPr>
    <w:rPr>
      <w:rFonts w:ascii="Titillium Web" w:hAnsi="Titillium Web"/>
      <w:b/>
      <w:bCs/>
      <w:smallCaps/>
      <w:sz w:val="22"/>
    </w:rPr>
  </w:style>
  <w:style w:type="paragraph" w:styleId="Sommario3">
    <w:name w:val="toc 3"/>
    <w:aliases w:val="Sommario Livello 3"/>
    <w:basedOn w:val="Normale"/>
    <w:next w:val="Normale"/>
    <w:autoRedefine/>
    <w:uiPriority w:val="39"/>
    <w:unhideWhenUsed/>
    <w:qFormat/>
    <w:rsid w:val="00590AFE"/>
    <w:pPr>
      <w:tabs>
        <w:tab w:val="right" w:leader="dot" w:pos="9628"/>
      </w:tabs>
      <w:spacing w:after="0"/>
      <w:ind w:left="567"/>
    </w:pPr>
    <w:rPr>
      <w:rFonts w:ascii="Titillium Web" w:hAnsi="Titillium Web"/>
      <w:b/>
      <w:smallCaps/>
      <w:sz w:val="22"/>
    </w:rPr>
  </w:style>
  <w:style w:type="paragraph" w:styleId="Sommario4">
    <w:name w:val="toc 4"/>
    <w:basedOn w:val="Normale"/>
    <w:next w:val="Normale"/>
    <w:autoRedefine/>
    <w:uiPriority w:val="39"/>
    <w:unhideWhenUsed/>
    <w:rsid w:val="006C2A5F"/>
    <w:pPr>
      <w:spacing w:after="0"/>
    </w:pPr>
    <w:rPr>
      <w:rFonts w:asciiTheme="minorHAnsi" w:hAnsiTheme="minorHAnsi"/>
    </w:rPr>
  </w:style>
  <w:style w:type="paragraph" w:styleId="Sommario5">
    <w:name w:val="toc 5"/>
    <w:basedOn w:val="Normale"/>
    <w:next w:val="Normale"/>
    <w:autoRedefine/>
    <w:uiPriority w:val="39"/>
    <w:unhideWhenUsed/>
    <w:rsid w:val="006C2A5F"/>
    <w:pPr>
      <w:spacing w:after="0"/>
    </w:pPr>
    <w:rPr>
      <w:rFonts w:asciiTheme="minorHAnsi" w:hAnsiTheme="minorHAnsi"/>
    </w:rPr>
  </w:style>
  <w:style w:type="paragraph" w:styleId="Sommario6">
    <w:name w:val="toc 6"/>
    <w:basedOn w:val="Normale"/>
    <w:next w:val="Normale"/>
    <w:autoRedefine/>
    <w:uiPriority w:val="39"/>
    <w:unhideWhenUsed/>
    <w:rsid w:val="006C2A5F"/>
    <w:pPr>
      <w:spacing w:after="0"/>
    </w:pPr>
    <w:rPr>
      <w:rFonts w:asciiTheme="minorHAnsi" w:hAnsiTheme="minorHAnsi"/>
    </w:rPr>
  </w:style>
  <w:style w:type="paragraph" w:styleId="Sommario7">
    <w:name w:val="toc 7"/>
    <w:basedOn w:val="Normale"/>
    <w:next w:val="Normale"/>
    <w:autoRedefine/>
    <w:uiPriority w:val="39"/>
    <w:unhideWhenUsed/>
    <w:rsid w:val="006C2A5F"/>
    <w:pPr>
      <w:spacing w:after="0"/>
    </w:pPr>
    <w:rPr>
      <w:rFonts w:asciiTheme="minorHAnsi" w:hAnsiTheme="minorHAnsi"/>
    </w:rPr>
  </w:style>
  <w:style w:type="paragraph" w:styleId="Sommario8">
    <w:name w:val="toc 8"/>
    <w:basedOn w:val="Normale"/>
    <w:next w:val="Normale"/>
    <w:autoRedefine/>
    <w:uiPriority w:val="39"/>
    <w:unhideWhenUsed/>
    <w:rsid w:val="006C2A5F"/>
    <w:pPr>
      <w:spacing w:after="0"/>
    </w:pPr>
    <w:rPr>
      <w:rFonts w:asciiTheme="minorHAnsi" w:hAnsiTheme="minorHAnsi"/>
    </w:rPr>
  </w:style>
  <w:style w:type="paragraph" w:styleId="Sommario9">
    <w:name w:val="toc 9"/>
    <w:basedOn w:val="Normale"/>
    <w:next w:val="Normale"/>
    <w:autoRedefine/>
    <w:uiPriority w:val="39"/>
    <w:unhideWhenUsed/>
    <w:rsid w:val="006C2A5F"/>
    <w:pPr>
      <w:spacing w:after="0"/>
    </w:pPr>
    <w:rPr>
      <w:rFonts w:asciiTheme="minorHAnsi" w:hAnsiTheme="minorHAnsi"/>
    </w:rPr>
  </w:style>
  <w:style w:type="character" w:customStyle="1" w:styleId="Titolo3Carattere">
    <w:name w:val="Titolo 3 Carattere"/>
    <w:basedOn w:val="Carpredefinitoparagrafo"/>
    <w:link w:val="Titolo3"/>
    <w:uiPriority w:val="9"/>
    <w:rsid w:val="00BB59B2"/>
    <w:rPr>
      <w:rFonts w:ascii="Titillium Web" w:hAnsi="Titillium Web" w:cs="Open Sans"/>
      <w:b/>
      <w:bCs/>
      <w:color w:val="534D49"/>
      <w:sz w:val="24"/>
      <w:szCs w:val="24"/>
    </w:rPr>
  </w:style>
  <w:style w:type="paragraph" w:customStyle="1" w:styleId="NomeConvenzione">
    <w:name w:val="Nome Convenzione"/>
    <w:basedOn w:val="Normale"/>
    <w:link w:val="NomeConvenzioneCarattere"/>
    <w:qFormat/>
    <w:rsid w:val="001466C8"/>
    <w:rPr>
      <w:rFonts w:ascii="Titillium Web" w:hAnsi="Titillium Web"/>
      <w:b/>
      <w:sz w:val="72"/>
    </w:rPr>
  </w:style>
  <w:style w:type="paragraph" w:customStyle="1" w:styleId="LottoNumero">
    <w:name w:val="Lotto Numero"/>
    <w:basedOn w:val="Normale"/>
    <w:link w:val="LottoNumeroCarattere"/>
    <w:qFormat/>
    <w:rsid w:val="00482784"/>
    <w:rPr>
      <w:rFonts w:ascii="Titillium Web" w:hAnsi="Titillium Web"/>
      <w:b/>
      <w:i/>
      <w:color w:val="821B4C"/>
      <w:sz w:val="40"/>
    </w:rPr>
  </w:style>
  <w:style w:type="character" w:customStyle="1" w:styleId="NomeConvenzioneCarattere">
    <w:name w:val="Nome Convenzione Carattere"/>
    <w:basedOn w:val="Carpredefinitoparagrafo"/>
    <w:link w:val="NomeConvenzione"/>
    <w:rsid w:val="001466C8"/>
    <w:rPr>
      <w:rFonts w:ascii="Titillium Web" w:hAnsi="Titillium Web" w:cs="Open Sans"/>
      <w:b/>
      <w:color w:val="534D49"/>
      <w:sz w:val="72"/>
      <w:szCs w:val="22"/>
    </w:rPr>
  </w:style>
  <w:style w:type="paragraph" w:customStyle="1" w:styleId="Tipodocumento">
    <w:name w:val="Tipo documento"/>
    <w:basedOn w:val="Normale"/>
    <w:link w:val="TipodocumentoCarattere"/>
    <w:qFormat/>
    <w:rsid w:val="001466C8"/>
    <w:rPr>
      <w:rFonts w:ascii="Titillium Web" w:hAnsi="Titillium Web"/>
      <w:b/>
      <w:sz w:val="52"/>
    </w:rPr>
  </w:style>
  <w:style w:type="character" w:customStyle="1" w:styleId="LottoNumeroCarattere">
    <w:name w:val="Lotto Numero Carattere"/>
    <w:basedOn w:val="Carpredefinitoparagrafo"/>
    <w:link w:val="LottoNumero"/>
    <w:rsid w:val="00482784"/>
    <w:rPr>
      <w:rFonts w:ascii="Titillium Web" w:hAnsi="Titillium Web" w:cs="Open Sans"/>
      <w:b/>
      <w:i/>
      <w:color w:val="821B4C"/>
      <w:sz w:val="40"/>
      <w:szCs w:val="22"/>
    </w:rPr>
  </w:style>
  <w:style w:type="paragraph" w:customStyle="1" w:styleId="Header-Categoriadocumento">
    <w:name w:val="Header - Categoria documento"/>
    <w:basedOn w:val="Normale"/>
    <w:link w:val="Header-CategoriadocumentoCarattere"/>
    <w:qFormat/>
    <w:rsid w:val="00EC2C2B"/>
    <w:pPr>
      <w:spacing w:before="0" w:after="0" w:line="240" w:lineRule="auto"/>
      <w:jc w:val="right"/>
    </w:pPr>
    <w:rPr>
      <w:rFonts w:ascii="Titillium Web" w:hAnsi="Titillium Web"/>
      <w:b/>
      <w:color w:val="821B4C"/>
    </w:rPr>
  </w:style>
  <w:style w:type="character" w:customStyle="1" w:styleId="TipodocumentoCarattere">
    <w:name w:val="Tipo documento Carattere"/>
    <w:basedOn w:val="Carpredefinitoparagrafo"/>
    <w:link w:val="Tipodocumento"/>
    <w:rsid w:val="001466C8"/>
    <w:rPr>
      <w:rFonts w:ascii="Titillium Web" w:hAnsi="Titillium Web" w:cs="Open Sans"/>
      <w:b/>
      <w:color w:val="534D49"/>
      <w:sz w:val="52"/>
      <w:szCs w:val="22"/>
    </w:rPr>
  </w:style>
  <w:style w:type="paragraph" w:customStyle="1" w:styleId="FooterNomeConvenzione">
    <w:name w:val="Footer Nome Convenzione"/>
    <w:basedOn w:val="Pidipagina"/>
    <w:link w:val="FooterNomeConvenzioneCarattere"/>
    <w:qFormat/>
    <w:rsid w:val="0076086B"/>
    <w:pPr>
      <w:spacing w:before="0"/>
    </w:pPr>
    <w:rPr>
      <w:sz w:val="28"/>
    </w:rPr>
  </w:style>
  <w:style w:type="character" w:customStyle="1" w:styleId="Header-CategoriadocumentoCarattere">
    <w:name w:val="Header - Categoria documento Carattere"/>
    <w:basedOn w:val="Carpredefinitoparagrafo"/>
    <w:link w:val="Header-Categoriadocumento"/>
    <w:rsid w:val="00EC2C2B"/>
    <w:rPr>
      <w:rFonts w:ascii="Titillium Web" w:hAnsi="Titillium Web" w:cs="Open Sans"/>
      <w:b/>
      <w:color w:val="821B4C"/>
      <w:szCs w:val="22"/>
    </w:rPr>
  </w:style>
  <w:style w:type="character" w:customStyle="1" w:styleId="FooterNomeConvenzioneCarattere">
    <w:name w:val="Footer Nome Convenzione Carattere"/>
    <w:basedOn w:val="PidipaginaCarattere"/>
    <w:link w:val="FooterNomeConvenzione"/>
    <w:rsid w:val="0076086B"/>
    <w:rPr>
      <w:rFonts w:ascii="Open Sans" w:hAnsi="Open Sans" w:cs="Open Sans"/>
      <w:color w:val="534D49"/>
      <w:sz w:val="28"/>
      <w:szCs w:val="22"/>
    </w:rPr>
  </w:style>
  <w:style w:type="character" w:styleId="Collegamentoipertestuale">
    <w:name w:val="Hyperlink"/>
    <w:basedOn w:val="Carpredefinitoparagrafo"/>
    <w:uiPriority w:val="99"/>
    <w:unhideWhenUsed/>
    <w:rsid w:val="00FD1780"/>
    <w:rPr>
      <w:rFonts w:ascii="Titillium Web" w:hAnsi="Titillium Web"/>
      <w:b w:val="0"/>
      <w:noProof/>
      <w:color w:val="821B4C"/>
      <w:sz w:val="20"/>
      <w:u w:val="single"/>
    </w:rPr>
  </w:style>
  <w:style w:type="paragraph" w:customStyle="1" w:styleId="SommarioAIr">
    <w:name w:val="Sommario AIr"/>
    <w:basedOn w:val="Sommario1"/>
    <w:link w:val="SommarioAIrCarattere"/>
    <w:qFormat/>
    <w:rsid w:val="003E4912"/>
  </w:style>
  <w:style w:type="paragraph" w:styleId="Paragrafoelenco">
    <w:name w:val="List Paragraph"/>
    <w:aliases w:val="List Paragraph 2 liv,Normale + Elenco puntato,Paragrafo elenco 2,List Paragraph2,Bullet edison,List Paragraph3,List Paragraph4"/>
    <w:basedOn w:val="Normale"/>
    <w:link w:val="ParagrafoelencoCarattere"/>
    <w:uiPriority w:val="34"/>
    <w:qFormat/>
    <w:rsid w:val="00B91954"/>
    <w:pPr>
      <w:contextualSpacing/>
    </w:pPr>
  </w:style>
  <w:style w:type="character" w:customStyle="1" w:styleId="Sommario1Carattere">
    <w:name w:val="Sommario 1 Carattere"/>
    <w:aliases w:val="Sommario Livello 1 Carattere"/>
    <w:basedOn w:val="Carpredefinitoparagrafo"/>
    <w:link w:val="Sommario1"/>
    <w:uiPriority w:val="39"/>
    <w:rsid w:val="00A70522"/>
    <w:rPr>
      <w:rFonts w:ascii="Titillium Web" w:hAnsi="Titillium Web" w:cs="Open Sans"/>
      <w:b/>
      <w:bCs/>
      <w:caps/>
      <w:color w:val="821B4C"/>
      <w:sz w:val="24"/>
      <w:szCs w:val="22"/>
    </w:rPr>
  </w:style>
  <w:style w:type="character" w:customStyle="1" w:styleId="SommarioAIrCarattere">
    <w:name w:val="Sommario AIr Carattere"/>
    <w:basedOn w:val="Sommario1Carattere"/>
    <w:link w:val="SommarioAIr"/>
    <w:rsid w:val="003E4912"/>
    <w:rPr>
      <w:rFonts w:ascii="Titillium Web" w:hAnsi="Titillium Web" w:cs="Open Sans"/>
      <w:b/>
      <w:bCs/>
      <w:caps/>
      <w:color w:val="821B4C"/>
      <w:sz w:val="24"/>
      <w:szCs w:val="22"/>
    </w:rPr>
  </w:style>
  <w:style w:type="paragraph" w:customStyle="1" w:styleId="ElencoLiv1">
    <w:name w:val="Elenco Liv 1"/>
    <w:basedOn w:val="Paragrafoelenco"/>
    <w:link w:val="ElencoLiv1Carattere"/>
    <w:autoRedefine/>
    <w:qFormat/>
    <w:rsid w:val="004D00C0"/>
    <w:pPr>
      <w:numPr>
        <w:numId w:val="3"/>
      </w:numPr>
      <w:spacing w:before="60" w:after="60" w:line="360" w:lineRule="auto"/>
      <w:contextualSpacing w:val="0"/>
      <w:jc w:val="left"/>
    </w:pPr>
  </w:style>
  <w:style w:type="paragraph" w:customStyle="1" w:styleId="ElencoLiv2">
    <w:name w:val="Elenco Liv 2"/>
    <w:basedOn w:val="ElencoLiv1"/>
    <w:link w:val="ElencoLiv2Carattere"/>
    <w:autoRedefine/>
    <w:qFormat/>
    <w:rsid w:val="004D00C0"/>
    <w:pPr>
      <w:numPr>
        <w:ilvl w:val="1"/>
        <w:numId w:val="1"/>
      </w:numPr>
      <w:spacing w:before="300" w:after="240"/>
      <w:ind w:left="851" w:hanging="284"/>
      <w:contextualSpacing/>
    </w:pPr>
  </w:style>
  <w:style w:type="character" w:customStyle="1" w:styleId="ParagrafoelencoCarattere">
    <w:name w:val="Paragrafo elenco Carattere"/>
    <w:aliases w:val="List Paragraph 2 liv Carattere,Normale + Elenco puntato Carattere,Paragrafo elenco 2 Carattere,List Paragraph2 Carattere,Bullet edison Carattere,List Paragraph3 Carattere,List Paragraph4 Carattere"/>
    <w:basedOn w:val="Carpredefinitoparagrafo"/>
    <w:link w:val="Paragrafoelenco"/>
    <w:uiPriority w:val="34"/>
    <w:rsid w:val="002D2B80"/>
    <w:rPr>
      <w:rFonts w:ascii="Open Sans" w:hAnsi="Open Sans" w:cs="Open Sans"/>
      <w:color w:val="534D49"/>
      <w:szCs w:val="22"/>
    </w:rPr>
  </w:style>
  <w:style w:type="character" w:customStyle="1" w:styleId="ElencoLiv1Carattere">
    <w:name w:val="Elenco Liv 1 Carattere"/>
    <w:basedOn w:val="ParagrafoelencoCarattere"/>
    <w:link w:val="ElencoLiv1"/>
    <w:rsid w:val="004D00C0"/>
    <w:rPr>
      <w:rFonts w:ascii="Open Sans" w:hAnsi="Open Sans" w:cs="Open Sans"/>
      <w:color w:val="534D49"/>
      <w:szCs w:val="22"/>
    </w:rPr>
  </w:style>
  <w:style w:type="paragraph" w:customStyle="1" w:styleId="ElencoLiv3">
    <w:name w:val="Elenco Liv 3"/>
    <w:basedOn w:val="ElencoLiv2"/>
    <w:link w:val="ElencoLiv3Carattere"/>
    <w:autoRedefine/>
    <w:qFormat/>
    <w:rsid w:val="004D00C0"/>
    <w:pPr>
      <w:numPr>
        <w:ilvl w:val="2"/>
      </w:numPr>
      <w:spacing w:before="420" w:after="360"/>
      <w:ind w:left="1135" w:hanging="284"/>
    </w:pPr>
  </w:style>
  <w:style w:type="character" w:customStyle="1" w:styleId="ElencoLiv2Carattere">
    <w:name w:val="Elenco Liv 2 Carattere"/>
    <w:basedOn w:val="ElencoLiv1Carattere"/>
    <w:link w:val="ElencoLiv2"/>
    <w:rsid w:val="004D00C0"/>
    <w:rPr>
      <w:rFonts w:ascii="Open Sans" w:hAnsi="Open Sans" w:cs="Open Sans"/>
      <w:color w:val="534D49"/>
      <w:szCs w:val="22"/>
    </w:rPr>
  </w:style>
  <w:style w:type="table" w:styleId="Grigliatabella">
    <w:name w:val="Table Grid"/>
    <w:basedOn w:val="Tabellanormale"/>
    <w:uiPriority w:val="59"/>
    <w:rsid w:val="003E49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lencoLiv3Carattere">
    <w:name w:val="Elenco Liv 3 Carattere"/>
    <w:basedOn w:val="ElencoLiv2Carattere"/>
    <w:link w:val="ElencoLiv3"/>
    <w:rsid w:val="004D00C0"/>
    <w:rPr>
      <w:rFonts w:ascii="Open Sans" w:hAnsi="Open Sans" w:cs="Open Sans"/>
      <w:color w:val="534D49"/>
      <w:szCs w:val="22"/>
    </w:rPr>
  </w:style>
  <w:style w:type="table" w:styleId="Elencoacolori">
    <w:name w:val="Colorful List"/>
    <w:basedOn w:val="Tabellanormale"/>
    <w:uiPriority w:val="72"/>
    <w:rsid w:val="0075512A"/>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Air-Tipo1">
    <w:name w:val="Air - Tipo 1"/>
    <w:basedOn w:val="Tabellanormale"/>
    <w:uiPriority w:val="99"/>
    <w:rsid w:val="00E337DC"/>
    <w:pPr>
      <w:spacing w:before="120" w:after="120"/>
    </w:pPr>
    <w:rPr>
      <w:rFonts w:ascii="Open Sans" w:hAnsi="Open Sans"/>
    </w:rPr>
    <w:tblPr>
      <w:tblStyleRowBandSize w:val="1"/>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blStylePr w:type="firstRow">
      <w:pPr>
        <w:jc w:val="left"/>
      </w:pPr>
      <w:rPr>
        <w:rFonts w:ascii="Titillium Web" w:hAnsi="Titillium Web"/>
        <w:b/>
        <w:color w:val="FFFFFF" w:themeColor="background1"/>
        <w:sz w:val="22"/>
      </w:rPr>
      <w:tblPr/>
      <w:tcPr>
        <w:shd w:val="clear" w:color="auto" w:fill="821B4C"/>
      </w:tcPr>
    </w:tblStylePr>
    <w:tblStylePr w:type="firstCol">
      <w:rPr>
        <w:rFonts w:ascii="Titillium Web" w:hAnsi="Titillium Web"/>
        <w:b/>
        <w:sz w:val="20"/>
      </w:rPr>
    </w:tblStylePr>
    <w:tblStylePr w:type="band2Horz">
      <w:tblPr/>
      <w:tcPr>
        <w:shd w:val="clear" w:color="auto" w:fill="F2F2F2" w:themeFill="background1" w:themeFillShade="F2"/>
      </w:tcPr>
    </w:tblStylePr>
  </w:style>
  <w:style w:type="paragraph" w:customStyle="1" w:styleId="TitoloPanelInformativo">
    <w:name w:val="Titolo Panel Informativo"/>
    <w:basedOn w:val="Normale"/>
    <w:link w:val="TitoloPanelInformativoCarattere"/>
    <w:qFormat/>
    <w:rsid w:val="00AE53AF"/>
    <w:pPr>
      <w:ind w:left="142"/>
    </w:pPr>
    <w:rPr>
      <w:rFonts w:ascii="Titillium Web" w:hAnsi="Titillium Web"/>
      <w:b/>
      <w:color w:val="821B4C"/>
      <w:sz w:val="24"/>
    </w:rPr>
  </w:style>
  <w:style w:type="character" w:customStyle="1" w:styleId="TitoloPanelInformativoCarattere">
    <w:name w:val="Titolo Panel Informativo Carattere"/>
    <w:basedOn w:val="Carpredefinitoparagrafo"/>
    <w:link w:val="TitoloPanelInformativo"/>
    <w:rsid w:val="00AE53AF"/>
    <w:rPr>
      <w:rFonts w:ascii="Titillium Web" w:hAnsi="Titillium Web" w:cs="Open Sans"/>
      <w:b/>
      <w:color w:val="821B4C"/>
      <w:sz w:val="24"/>
      <w:szCs w:val="22"/>
    </w:rPr>
  </w:style>
  <w:style w:type="table" w:customStyle="1" w:styleId="Air-Tipo2">
    <w:name w:val="Air - Tipo 2"/>
    <w:basedOn w:val="Tabellanormale"/>
    <w:uiPriority w:val="99"/>
    <w:rsid w:val="00E337DC"/>
    <w:rPr>
      <w:rFonts w:ascii="Open Sans" w:hAnsi="Open Sans"/>
      <w:color w:val="534D49"/>
    </w:rPr>
    <w:tblPr>
      <w:tblStyleRowBandSize w:val="1"/>
    </w:tblPr>
    <w:tblStylePr w:type="firstRow">
      <w:rPr>
        <w:rFonts w:ascii="Titillium Web SemiBold" w:hAnsi="Titillium Web SemiBold"/>
        <w:b/>
        <w:color w:val="FFFFFF" w:themeColor="background1"/>
        <w:sz w:val="22"/>
      </w:rPr>
      <w:tblPr/>
      <w:tcPr>
        <w:shd w:val="clear" w:color="auto" w:fill="821B4C"/>
      </w:tcPr>
    </w:tblStylePr>
    <w:tblStylePr w:type="band2Horz">
      <w:tblPr/>
      <w:tcPr>
        <w:shd w:val="clear" w:color="auto" w:fill="F2F2F2" w:themeFill="background1" w:themeFillShade="F2"/>
      </w:tcPr>
    </w:tblStylePr>
  </w:style>
  <w:style w:type="paragraph" w:customStyle="1" w:styleId="Titolo4-Senzanumerazione">
    <w:name w:val="Titolo 4 - Senza numerazione"/>
    <w:basedOn w:val="Titolo3"/>
    <w:link w:val="Titolo4-SenzanumerazioneCarattere"/>
    <w:qFormat/>
    <w:rsid w:val="0019095B"/>
    <w:pPr>
      <w:numPr>
        <w:ilvl w:val="0"/>
        <w:numId w:val="0"/>
      </w:numPr>
      <w:spacing w:line="360" w:lineRule="auto"/>
    </w:pPr>
  </w:style>
  <w:style w:type="paragraph" w:customStyle="1" w:styleId="Titolo5-Cherry">
    <w:name w:val="Titolo 5 - Cherry"/>
    <w:basedOn w:val="Titolo4-Senzanumerazione"/>
    <w:link w:val="Titolo5-CherryCarattere"/>
    <w:qFormat/>
    <w:rsid w:val="0019095B"/>
    <w:rPr>
      <w:color w:val="821B4C"/>
    </w:rPr>
  </w:style>
  <w:style w:type="character" w:customStyle="1" w:styleId="Titolo4-SenzanumerazioneCarattere">
    <w:name w:val="Titolo 4 - Senza numerazione Carattere"/>
    <w:basedOn w:val="Titolo3Carattere"/>
    <w:link w:val="Titolo4-Senzanumerazione"/>
    <w:rsid w:val="0019095B"/>
    <w:rPr>
      <w:rFonts w:ascii="Titillium Web" w:hAnsi="Titillium Web" w:cs="Open Sans"/>
      <w:b/>
      <w:bCs/>
      <w:color w:val="534D49"/>
      <w:sz w:val="24"/>
      <w:szCs w:val="24"/>
    </w:rPr>
  </w:style>
  <w:style w:type="paragraph" w:styleId="Didascalia">
    <w:name w:val="caption"/>
    <w:basedOn w:val="Normale"/>
    <w:next w:val="Normale"/>
    <w:uiPriority w:val="35"/>
    <w:unhideWhenUsed/>
    <w:qFormat/>
    <w:rsid w:val="00A2572C"/>
    <w:pPr>
      <w:spacing w:before="0" w:after="0" w:line="240" w:lineRule="auto"/>
    </w:pPr>
    <w:rPr>
      <w:bCs/>
      <w:color w:val="821B4C"/>
      <w:sz w:val="16"/>
      <w:szCs w:val="18"/>
    </w:rPr>
  </w:style>
  <w:style w:type="character" w:customStyle="1" w:styleId="Titolo5-CherryCarattere">
    <w:name w:val="Titolo 5 - Cherry Carattere"/>
    <w:basedOn w:val="Titolo4-SenzanumerazioneCarattere"/>
    <w:link w:val="Titolo5-Cherry"/>
    <w:rsid w:val="0019095B"/>
    <w:rPr>
      <w:rFonts w:ascii="Titillium Web" w:hAnsi="Titillium Web" w:cs="Open Sans"/>
      <w:b/>
      <w:bCs/>
      <w:color w:val="821B4C"/>
      <w:sz w:val="24"/>
      <w:szCs w:val="24"/>
    </w:rPr>
  </w:style>
  <w:style w:type="character" w:styleId="Rimandocommento">
    <w:name w:val="annotation reference"/>
    <w:basedOn w:val="Carpredefinitoparagrafo"/>
    <w:uiPriority w:val="99"/>
    <w:semiHidden/>
    <w:unhideWhenUsed/>
    <w:rsid w:val="00E72F18"/>
    <w:rPr>
      <w:sz w:val="16"/>
      <w:szCs w:val="16"/>
    </w:rPr>
  </w:style>
  <w:style w:type="paragraph" w:styleId="Testocommento">
    <w:name w:val="annotation text"/>
    <w:basedOn w:val="Normale"/>
    <w:link w:val="TestocommentoCarattere"/>
    <w:uiPriority w:val="99"/>
    <w:semiHidden/>
    <w:unhideWhenUsed/>
    <w:rsid w:val="00E72F18"/>
    <w:pPr>
      <w:spacing w:line="240" w:lineRule="auto"/>
    </w:pPr>
    <w:rPr>
      <w:szCs w:val="20"/>
    </w:rPr>
  </w:style>
  <w:style w:type="character" w:customStyle="1" w:styleId="TestocommentoCarattere">
    <w:name w:val="Testo commento Carattere"/>
    <w:basedOn w:val="Carpredefinitoparagrafo"/>
    <w:link w:val="Testocommento"/>
    <w:uiPriority w:val="99"/>
    <w:semiHidden/>
    <w:rsid w:val="00E72F18"/>
    <w:rPr>
      <w:rFonts w:ascii="Open Sans" w:hAnsi="Open Sans" w:cs="Open Sans"/>
      <w:color w:val="534D49"/>
    </w:rPr>
  </w:style>
  <w:style w:type="paragraph" w:styleId="Soggettocommento">
    <w:name w:val="annotation subject"/>
    <w:basedOn w:val="Testocommento"/>
    <w:next w:val="Testocommento"/>
    <w:link w:val="SoggettocommentoCarattere"/>
    <w:uiPriority w:val="99"/>
    <w:semiHidden/>
    <w:unhideWhenUsed/>
    <w:rsid w:val="00E72F18"/>
    <w:rPr>
      <w:b/>
      <w:bCs/>
    </w:rPr>
  </w:style>
  <w:style w:type="character" w:customStyle="1" w:styleId="SoggettocommentoCarattere">
    <w:name w:val="Soggetto commento Carattere"/>
    <w:basedOn w:val="TestocommentoCarattere"/>
    <w:link w:val="Soggettocommento"/>
    <w:uiPriority w:val="99"/>
    <w:semiHidden/>
    <w:rsid w:val="00E72F18"/>
    <w:rPr>
      <w:rFonts w:ascii="Open Sans" w:hAnsi="Open Sans" w:cs="Open Sans"/>
      <w:b/>
      <w:bCs/>
      <w:color w:val="534D49"/>
    </w:rPr>
  </w:style>
  <w:style w:type="paragraph" w:styleId="Citazione">
    <w:name w:val="Quote"/>
    <w:basedOn w:val="Normale"/>
    <w:next w:val="Normale"/>
    <w:link w:val="CitazioneCarattere"/>
    <w:uiPriority w:val="29"/>
    <w:rsid w:val="0002673A"/>
    <w:rPr>
      <w:i/>
      <w:iCs/>
    </w:rPr>
  </w:style>
  <w:style w:type="character" w:customStyle="1" w:styleId="CitazioneCarattere">
    <w:name w:val="Citazione Carattere"/>
    <w:basedOn w:val="Carpredefinitoparagrafo"/>
    <w:link w:val="Citazione"/>
    <w:uiPriority w:val="29"/>
    <w:rsid w:val="0002673A"/>
    <w:rPr>
      <w:rFonts w:ascii="Open Sans" w:hAnsi="Open Sans" w:cs="Open Sans"/>
      <w:i/>
      <w:iCs/>
      <w:color w:val="534D49"/>
      <w:szCs w:val="22"/>
    </w:rPr>
  </w:style>
  <w:style w:type="character" w:styleId="Riferimentodelicato">
    <w:name w:val="Subtle Reference"/>
    <w:basedOn w:val="Carpredefinitoparagrafo"/>
    <w:uiPriority w:val="31"/>
    <w:rsid w:val="0002673A"/>
    <w:rPr>
      <w:smallCaps/>
      <w:color w:val="821B4C"/>
      <w:u w:val="single"/>
    </w:rPr>
  </w:style>
  <w:style w:type="character" w:styleId="Riferimentointenso">
    <w:name w:val="Intense Reference"/>
    <w:basedOn w:val="Carpredefinitoparagrafo"/>
    <w:uiPriority w:val="32"/>
    <w:qFormat/>
    <w:rsid w:val="0002673A"/>
    <w:rPr>
      <w:b/>
      <w:bCs/>
      <w:smallCaps/>
      <w:color w:val="821B4C"/>
      <w:spacing w:val="5"/>
      <w:u w:val="single"/>
    </w:rPr>
  </w:style>
  <w:style w:type="paragraph" w:styleId="Rientrocorpodeltesto">
    <w:name w:val="Body Text Indent"/>
    <w:basedOn w:val="Normale"/>
    <w:link w:val="RientrocorpodeltestoCarattere"/>
    <w:rsid w:val="00D20DC6"/>
    <w:pPr>
      <w:spacing w:before="0" w:after="120" w:line="240" w:lineRule="auto"/>
      <w:ind w:firstLine="567"/>
    </w:pPr>
    <w:rPr>
      <w:rFonts w:ascii="Comic Sans MS" w:hAnsi="Comic Sans MS" w:cs="Times New Roman"/>
      <w:color w:val="auto"/>
      <w:sz w:val="24"/>
      <w:szCs w:val="20"/>
      <w:lang w:eastAsia="en-US"/>
    </w:rPr>
  </w:style>
  <w:style w:type="character" w:customStyle="1" w:styleId="RientrocorpodeltestoCarattere">
    <w:name w:val="Rientro corpo del testo Carattere"/>
    <w:basedOn w:val="Carpredefinitoparagrafo"/>
    <w:link w:val="Rientrocorpodeltesto"/>
    <w:rsid w:val="00D20DC6"/>
    <w:rPr>
      <w:rFonts w:ascii="Comic Sans MS" w:hAnsi="Comic Sans MS"/>
      <w:sz w:val="24"/>
      <w:lang w:eastAsia="en-US"/>
    </w:rPr>
  </w:style>
  <w:style w:type="paragraph" w:styleId="Corpotesto">
    <w:name w:val="Body Text"/>
    <w:basedOn w:val="Normale"/>
    <w:link w:val="CorpotestoCarattere"/>
    <w:uiPriority w:val="99"/>
    <w:semiHidden/>
    <w:unhideWhenUsed/>
    <w:rsid w:val="00D20DC6"/>
    <w:pPr>
      <w:spacing w:after="120"/>
    </w:pPr>
  </w:style>
  <w:style w:type="character" w:customStyle="1" w:styleId="CorpotestoCarattere">
    <w:name w:val="Corpo testo Carattere"/>
    <w:basedOn w:val="Carpredefinitoparagrafo"/>
    <w:link w:val="Corpotesto"/>
    <w:uiPriority w:val="99"/>
    <w:semiHidden/>
    <w:rsid w:val="00D20DC6"/>
    <w:rPr>
      <w:rFonts w:ascii="Open Sans" w:hAnsi="Open Sans" w:cs="Open Sans"/>
      <w:color w:val="534D49"/>
      <w:szCs w:val="22"/>
    </w:rPr>
  </w:style>
  <w:style w:type="paragraph" w:styleId="Primorientrocorpodeltesto">
    <w:name w:val="Body Text First Indent"/>
    <w:basedOn w:val="Corpotesto"/>
    <w:link w:val="PrimorientrocorpodeltestoCarattere"/>
    <w:rsid w:val="00D20DC6"/>
    <w:pPr>
      <w:spacing w:before="0" w:line="240" w:lineRule="auto"/>
      <w:ind w:firstLine="210"/>
      <w:jc w:val="left"/>
    </w:pPr>
    <w:rPr>
      <w:rFonts w:ascii="Times New Roman" w:hAnsi="Times New Roman" w:cs="Times New Roman"/>
      <w:color w:val="auto"/>
      <w:sz w:val="24"/>
      <w:szCs w:val="24"/>
      <w:lang w:eastAsia="en-US"/>
    </w:rPr>
  </w:style>
  <w:style w:type="character" w:customStyle="1" w:styleId="PrimorientrocorpodeltestoCarattere">
    <w:name w:val="Primo rientro corpo del testo Carattere"/>
    <w:basedOn w:val="CorpotestoCarattere"/>
    <w:link w:val="Primorientrocorpodeltesto"/>
    <w:rsid w:val="00D20DC6"/>
    <w:rPr>
      <w:rFonts w:ascii="Times New Roman" w:hAnsi="Times New Roman" w:cs="Open Sans"/>
      <w:color w:val="534D49"/>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40810858">
      <w:bodyDiv w:val="1"/>
      <w:marLeft w:val="0"/>
      <w:marRight w:val="0"/>
      <w:marTop w:val="0"/>
      <w:marBottom w:val="0"/>
      <w:divBdr>
        <w:top w:val="none" w:sz="0" w:space="0" w:color="auto"/>
        <w:left w:val="none" w:sz="0" w:space="0" w:color="auto"/>
        <w:bottom w:val="none" w:sz="0" w:space="0" w:color="auto"/>
        <w:right w:val="none" w:sz="0" w:space="0" w:color="auto"/>
      </w:divBdr>
      <w:divsChild>
        <w:div w:id="1247765482">
          <w:marLeft w:val="0"/>
          <w:marRight w:val="0"/>
          <w:marTop w:val="0"/>
          <w:marBottom w:val="0"/>
          <w:divBdr>
            <w:top w:val="none" w:sz="0" w:space="0" w:color="auto"/>
            <w:left w:val="none" w:sz="0" w:space="0" w:color="auto"/>
            <w:bottom w:val="none" w:sz="0" w:space="0" w:color="auto"/>
            <w:right w:val="none" w:sz="0" w:space="0" w:color="auto"/>
          </w:divBdr>
        </w:div>
        <w:div w:id="535703385">
          <w:marLeft w:val="0"/>
          <w:marRight w:val="0"/>
          <w:marTop w:val="0"/>
          <w:marBottom w:val="0"/>
          <w:divBdr>
            <w:top w:val="none" w:sz="0" w:space="0" w:color="auto"/>
            <w:left w:val="none" w:sz="0" w:space="0" w:color="auto"/>
            <w:bottom w:val="none" w:sz="0" w:space="0" w:color="auto"/>
            <w:right w:val="none" w:sz="0" w:space="0" w:color="auto"/>
          </w:divBdr>
        </w:div>
        <w:div w:id="1907455394">
          <w:marLeft w:val="0"/>
          <w:marRight w:val="0"/>
          <w:marTop w:val="0"/>
          <w:marBottom w:val="0"/>
          <w:divBdr>
            <w:top w:val="none" w:sz="0" w:space="0" w:color="auto"/>
            <w:left w:val="none" w:sz="0" w:space="0" w:color="auto"/>
            <w:bottom w:val="none" w:sz="0" w:space="0" w:color="auto"/>
            <w:right w:val="none" w:sz="0" w:space="0" w:color="auto"/>
          </w:divBdr>
        </w:div>
        <w:div w:id="1767652773">
          <w:marLeft w:val="0"/>
          <w:marRight w:val="0"/>
          <w:marTop w:val="0"/>
          <w:marBottom w:val="0"/>
          <w:divBdr>
            <w:top w:val="none" w:sz="0" w:space="0" w:color="auto"/>
            <w:left w:val="none" w:sz="0" w:space="0" w:color="auto"/>
            <w:bottom w:val="none" w:sz="0" w:space="0" w:color="auto"/>
            <w:right w:val="none" w:sz="0" w:space="0" w:color="auto"/>
          </w:divBdr>
        </w:div>
        <w:div w:id="1917863179">
          <w:marLeft w:val="0"/>
          <w:marRight w:val="0"/>
          <w:marTop w:val="0"/>
          <w:marBottom w:val="0"/>
          <w:divBdr>
            <w:top w:val="none" w:sz="0" w:space="0" w:color="auto"/>
            <w:left w:val="none" w:sz="0" w:space="0" w:color="auto"/>
            <w:bottom w:val="none" w:sz="0" w:space="0" w:color="auto"/>
            <w:right w:val="none" w:sz="0" w:space="0" w:color="auto"/>
          </w:divBdr>
        </w:div>
        <w:div w:id="1345981372">
          <w:marLeft w:val="0"/>
          <w:marRight w:val="0"/>
          <w:marTop w:val="0"/>
          <w:marBottom w:val="0"/>
          <w:divBdr>
            <w:top w:val="none" w:sz="0" w:space="0" w:color="auto"/>
            <w:left w:val="none" w:sz="0" w:space="0" w:color="auto"/>
            <w:bottom w:val="none" w:sz="0" w:space="0" w:color="auto"/>
            <w:right w:val="none" w:sz="0" w:space="0" w:color="auto"/>
          </w:divBdr>
        </w:div>
        <w:div w:id="1202403058">
          <w:marLeft w:val="0"/>
          <w:marRight w:val="0"/>
          <w:marTop w:val="0"/>
          <w:marBottom w:val="0"/>
          <w:divBdr>
            <w:top w:val="none" w:sz="0" w:space="0" w:color="auto"/>
            <w:left w:val="none" w:sz="0" w:space="0" w:color="auto"/>
            <w:bottom w:val="none" w:sz="0" w:space="0" w:color="auto"/>
            <w:right w:val="none" w:sz="0" w:space="0" w:color="auto"/>
          </w:divBdr>
        </w:div>
        <w:div w:id="2117168832">
          <w:marLeft w:val="0"/>
          <w:marRight w:val="0"/>
          <w:marTop w:val="0"/>
          <w:marBottom w:val="0"/>
          <w:divBdr>
            <w:top w:val="none" w:sz="0" w:space="0" w:color="auto"/>
            <w:left w:val="none" w:sz="0" w:space="0" w:color="auto"/>
            <w:bottom w:val="none" w:sz="0" w:space="0" w:color="auto"/>
            <w:right w:val="none" w:sz="0" w:space="0" w:color="auto"/>
          </w:divBdr>
        </w:div>
        <w:div w:id="1440442947">
          <w:marLeft w:val="0"/>
          <w:marRight w:val="0"/>
          <w:marTop w:val="0"/>
          <w:marBottom w:val="0"/>
          <w:divBdr>
            <w:top w:val="none" w:sz="0" w:space="0" w:color="auto"/>
            <w:left w:val="none" w:sz="0" w:space="0" w:color="auto"/>
            <w:bottom w:val="none" w:sz="0" w:space="0" w:color="auto"/>
            <w:right w:val="none" w:sz="0" w:space="0" w:color="auto"/>
          </w:divBdr>
        </w:div>
        <w:div w:id="992216109">
          <w:marLeft w:val="0"/>
          <w:marRight w:val="0"/>
          <w:marTop w:val="0"/>
          <w:marBottom w:val="0"/>
          <w:divBdr>
            <w:top w:val="none" w:sz="0" w:space="0" w:color="auto"/>
            <w:left w:val="none" w:sz="0" w:space="0" w:color="auto"/>
            <w:bottom w:val="none" w:sz="0" w:space="0" w:color="auto"/>
            <w:right w:val="none" w:sz="0" w:space="0" w:color="auto"/>
          </w:divBdr>
        </w:div>
        <w:div w:id="1078793851">
          <w:marLeft w:val="0"/>
          <w:marRight w:val="0"/>
          <w:marTop w:val="0"/>
          <w:marBottom w:val="0"/>
          <w:divBdr>
            <w:top w:val="none" w:sz="0" w:space="0" w:color="auto"/>
            <w:left w:val="none" w:sz="0" w:space="0" w:color="auto"/>
            <w:bottom w:val="none" w:sz="0" w:space="0" w:color="auto"/>
            <w:right w:val="none" w:sz="0" w:space="0" w:color="auto"/>
          </w:divBdr>
        </w:div>
        <w:div w:id="145897737">
          <w:marLeft w:val="0"/>
          <w:marRight w:val="0"/>
          <w:marTop w:val="0"/>
          <w:marBottom w:val="0"/>
          <w:divBdr>
            <w:top w:val="none" w:sz="0" w:space="0" w:color="auto"/>
            <w:left w:val="none" w:sz="0" w:space="0" w:color="auto"/>
            <w:bottom w:val="none" w:sz="0" w:space="0" w:color="auto"/>
            <w:right w:val="none" w:sz="0" w:space="0" w:color="auto"/>
          </w:divBdr>
        </w:div>
        <w:div w:id="515391146">
          <w:marLeft w:val="0"/>
          <w:marRight w:val="0"/>
          <w:marTop w:val="0"/>
          <w:marBottom w:val="0"/>
          <w:divBdr>
            <w:top w:val="none" w:sz="0" w:space="0" w:color="auto"/>
            <w:left w:val="none" w:sz="0" w:space="0" w:color="auto"/>
            <w:bottom w:val="none" w:sz="0" w:space="0" w:color="auto"/>
            <w:right w:val="none" w:sz="0" w:space="0" w:color="auto"/>
          </w:divBdr>
        </w:div>
        <w:div w:id="395012775">
          <w:marLeft w:val="0"/>
          <w:marRight w:val="0"/>
          <w:marTop w:val="0"/>
          <w:marBottom w:val="0"/>
          <w:divBdr>
            <w:top w:val="none" w:sz="0" w:space="0" w:color="auto"/>
            <w:left w:val="none" w:sz="0" w:space="0" w:color="auto"/>
            <w:bottom w:val="none" w:sz="0" w:space="0" w:color="auto"/>
            <w:right w:val="none" w:sz="0" w:space="0" w:color="auto"/>
          </w:divBdr>
        </w:div>
        <w:div w:id="1066106590">
          <w:marLeft w:val="0"/>
          <w:marRight w:val="0"/>
          <w:marTop w:val="0"/>
          <w:marBottom w:val="0"/>
          <w:divBdr>
            <w:top w:val="none" w:sz="0" w:space="0" w:color="auto"/>
            <w:left w:val="none" w:sz="0" w:space="0" w:color="auto"/>
            <w:bottom w:val="none" w:sz="0" w:space="0" w:color="auto"/>
            <w:right w:val="none" w:sz="0" w:space="0" w:color="auto"/>
          </w:divBdr>
        </w:div>
        <w:div w:id="1101755256">
          <w:marLeft w:val="0"/>
          <w:marRight w:val="0"/>
          <w:marTop w:val="0"/>
          <w:marBottom w:val="0"/>
          <w:divBdr>
            <w:top w:val="none" w:sz="0" w:space="0" w:color="auto"/>
            <w:left w:val="none" w:sz="0" w:space="0" w:color="auto"/>
            <w:bottom w:val="none" w:sz="0" w:space="0" w:color="auto"/>
            <w:right w:val="none" w:sz="0" w:space="0" w:color="auto"/>
          </w:divBdr>
        </w:div>
        <w:div w:id="1817717585">
          <w:marLeft w:val="0"/>
          <w:marRight w:val="0"/>
          <w:marTop w:val="0"/>
          <w:marBottom w:val="0"/>
          <w:divBdr>
            <w:top w:val="none" w:sz="0" w:space="0" w:color="auto"/>
            <w:left w:val="none" w:sz="0" w:space="0" w:color="auto"/>
            <w:bottom w:val="none" w:sz="0" w:space="0" w:color="auto"/>
            <w:right w:val="none" w:sz="0" w:space="0" w:color="auto"/>
          </w:divBdr>
        </w:div>
        <w:div w:id="1526089793">
          <w:marLeft w:val="0"/>
          <w:marRight w:val="0"/>
          <w:marTop w:val="0"/>
          <w:marBottom w:val="0"/>
          <w:divBdr>
            <w:top w:val="none" w:sz="0" w:space="0" w:color="auto"/>
            <w:left w:val="none" w:sz="0" w:space="0" w:color="auto"/>
            <w:bottom w:val="none" w:sz="0" w:space="0" w:color="auto"/>
            <w:right w:val="none" w:sz="0" w:space="0" w:color="auto"/>
          </w:divBdr>
        </w:div>
        <w:div w:id="211582957">
          <w:marLeft w:val="0"/>
          <w:marRight w:val="0"/>
          <w:marTop w:val="0"/>
          <w:marBottom w:val="0"/>
          <w:divBdr>
            <w:top w:val="none" w:sz="0" w:space="0" w:color="auto"/>
            <w:left w:val="none" w:sz="0" w:space="0" w:color="auto"/>
            <w:bottom w:val="none" w:sz="0" w:space="0" w:color="auto"/>
            <w:right w:val="none" w:sz="0" w:space="0" w:color="auto"/>
          </w:divBdr>
        </w:div>
        <w:div w:id="1727794845">
          <w:marLeft w:val="0"/>
          <w:marRight w:val="0"/>
          <w:marTop w:val="0"/>
          <w:marBottom w:val="0"/>
          <w:divBdr>
            <w:top w:val="none" w:sz="0" w:space="0" w:color="auto"/>
            <w:left w:val="none" w:sz="0" w:space="0" w:color="auto"/>
            <w:bottom w:val="none" w:sz="0" w:space="0" w:color="auto"/>
            <w:right w:val="none" w:sz="0" w:space="0" w:color="auto"/>
          </w:divBdr>
        </w:div>
        <w:div w:id="906769632">
          <w:marLeft w:val="0"/>
          <w:marRight w:val="0"/>
          <w:marTop w:val="0"/>
          <w:marBottom w:val="0"/>
          <w:divBdr>
            <w:top w:val="none" w:sz="0" w:space="0" w:color="auto"/>
            <w:left w:val="none" w:sz="0" w:space="0" w:color="auto"/>
            <w:bottom w:val="none" w:sz="0" w:space="0" w:color="auto"/>
            <w:right w:val="none" w:sz="0" w:space="0" w:color="auto"/>
          </w:divBdr>
        </w:div>
        <w:div w:id="157957">
          <w:marLeft w:val="0"/>
          <w:marRight w:val="0"/>
          <w:marTop w:val="0"/>
          <w:marBottom w:val="0"/>
          <w:divBdr>
            <w:top w:val="none" w:sz="0" w:space="0" w:color="auto"/>
            <w:left w:val="none" w:sz="0" w:space="0" w:color="auto"/>
            <w:bottom w:val="none" w:sz="0" w:space="0" w:color="auto"/>
            <w:right w:val="none" w:sz="0" w:space="0" w:color="auto"/>
          </w:divBdr>
        </w:div>
        <w:div w:id="506360943">
          <w:marLeft w:val="0"/>
          <w:marRight w:val="0"/>
          <w:marTop w:val="0"/>
          <w:marBottom w:val="0"/>
          <w:divBdr>
            <w:top w:val="none" w:sz="0" w:space="0" w:color="auto"/>
            <w:left w:val="none" w:sz="0" w:space="0" w:color="auto"/>
            <w:bottom w:val="none" w:sz="0" w:space="0" w:color="auto"/>
            <w:right w:val="none" w:sz="0" w:space="0" w:color="auto"/>
          </w:divBdr>
        </w:div>
        <w:div w:id="70665878">
          <w:marLeft w:val="0"/>
          <w:marRight w:val="0"/>
          <w:marTop w:val="0"/>
          <w:marBottom w:val="0"/>
          <w:divBdr>
            <w:top w:val="none" w:sz="0" w:space="0" w:color="auto"/>
            <w:left w:val="none" w:sz="0" w:space="0" w:color="auto"/>
            <w:bottom w:val="none" w:sz="0" w:space="0" w:color="auto"/>
            <w:right w:val="none" w:sz="0" w:space="0" w:color="auto"/>
          </w:divBdr>
        </w:div>
        <w:div w:id="381757270">
          <w:marLeft w:val="0"/>
          <w:marRight w:val="0"/>
          <w:marTop w:val="0"/>
          <w:marBottom w:val="0"/>
          <w:divBdr>
            <w:top w:val="none" w:sz="0" w:space="0" w:color="auto"/>
            <w:left w:val="none" w:sz="0" w:space="0" w:color="auto"/>
            <w:bottom w:val="none" w:sz="0" w:space="0" w:color="auto"/>
            <w:right w:val="none" w:sz="0" w:space="0" w:color="auto"/>
          </w:divBdr>
        </w:div>
        <w:div w:id="374545106">
          <w:marLeft w:val="0"/>
          <w:marRight w:val="0"/>
          <w:marTop w:val="0"/>
          <w:marBottom w:val="0"/>
          <w:divBdr>
            <w:top w:val="none" w:sz="0" w:space="0" w:color="auto"/>
            <w:left w:val="none" w:sz="0" w:space="0" w:color="auto"/>
            <w:bottom w:val="none" w:sz="0" w:space="0" w:color="auto"/>
            <w:right w:val="none" w:sz="0" w:space="0" w:color="auto"/>
          </w:divBdr>
        </w:div>
        <w:div w:id="11418384">
          <w:marLeft w:val="0"/>
          <w:marRight w:val="0"/>
          <w:marTop w:val="0"/>
          <w:marBottom w:val="0"/>
          <w:divBdr>
            <w:top w:val="none" w:sz="0" w:space="0" w:color="auto"/>
            <w:left w:val="none" w:sz="0" w:space="0" w:color="auto"/>
            <w:bottom w:val="none" w:sz="0" w:space="0" w:color="auto"/>
            <w:right w:val="none" w:sz="0" w:space="0" w:color="auto"/>
          </w:divBdr>
        </w:div>
        <w:div w:id="1570648562">
          <w:marLeft w:val="0"/>
          <w:marRight w:val="0"/>
          <w:marTop w:val="0"/>
          <w:marBottom w:val="0"/>
          <w:divBdr>
            <w:top w:val="none" w:sz="0" w:space="0" w:color="auto"/>
            <w:left w:val="none" w:sz="0" w:space="0" w:color="auto"/>
            <w:bottom w:val="none" w:sz="0" w:space="0" w:color="auto"/>
            <w:right w:val="none" w:sz="0" w:space="0" w:color="auto"/>
          </w:divBdr>
        </w:div>
        <w:div w:id="380255893">
          <w:marLeft w:val="0"/>
          <w:marRight w:val="0"/>
          <w:marTop w:val="0"/>
          <w:marBottom w:val="0"/>
          <w:divBdr>
            <w:top w:val="none" w:sz="0" w:space="0" w:color="auto"/>
            <w:left w:val="none" w:sz="0" w:space="0" w:color="auto"/>
            <w:bottom w:val="none" w:sz="0" w:space="0" w:color="auto"/>
            <w:right w:val="none" w:sz="0" w:space="0" w:color="auto"/>
          </w:divBdr>
        </w:div>
        <w:div w:id="1802382488">
          <w:marLeft w:val="0"/>
          <w:marRight w:val="0"/>
          <w:marTop w:val="0"/>
          <w:marBottom w:val="0"/>
          <w:divBdr>
            <w:top w:val="none" w:sz="0" w:space="0" w:color="auto"/>
            <w:left w:val="none" w:sz="0" w:space="0" w:color="auto"/>
            <w:bottom w:val="none" w:sz="0" w:space="0" w:color="auto"/>
            <w:right w:val="none" w:sz="0" w:space="0" w:color="auto"/>
          </w:divBdr>
        </w:div>
        <w:div w:id="1736931891">
          <w:marLeft w:val="0"/>
          <w:marRight w:val="0"/>
          <w:marTop w:val="0"/>
          <w:marBottom w:val="0"/>
          <w:divBdr>
            <w:top w:val="none" w:sz="0" w:space="0" w:color="auto"/>
            <w:left w:val="none" w:sz="0" w:space="0" w:color="auto"/>
            <w:bottom w:val="none" w:sz="0" w:space="0" w:color="auto"/>
            <w:right w:val="none" w:sz="0" w:space="0" w:color="auto"/>
          </w:divBdr>
        </w:div>
        <w:div w:id="413817340">
          <w:marLeft w:val="0"/>
          <w:marRight w:val="0"/>
          <w:marTop w:val="0"/>
          <w:marBottom w:val="0"/>
          <w:divBdr>
            <w:top w:val="none" w:sz="0" w:space="0" w:color="auto"/>
            <w:left w:val="none" w:sz="0" w:space="0" w:color="auto"/>
            <w:bottom w:val="none" w:sz="0" w:space="0" w:color="auto"/>
            <w:right w:val="none" w:sz="0" w:space="0" w:color="auto"/>
          </w:divBdr>
        </w:div>
        <w:div w:id="1229146937">
          <w:marLeft w:val="0"/>
          <w:marRight w:val="0"/>
          <w:marTop w:val="0"/>
          <w:marBottom w:val="0"/>
          <w:divBdr>
            <w:top w:val="none" w:sz="0" w:space="0" w:color="auto"/>
            <w:left w:val="none" w:sz="0" w:space="0" w:color="auto"/>
            <w:bottom w:val="none" w:sz="0" w:space="0" w:color="auto"/>
            <w:right w:val="none" w:sz="0" w:space="0" w:color="auto"/>
          </w:divBdr>
        </w:div>
        <w:div w:id="1941796313">
          <w:marLeft w:val="0"/>
          <w:marRight w:val="0"/>
          <w:marTop w:val="0"/>
          <w:marBottom w:val="0"/>
          <w:divBdr>
            <w:top w:val="none" w:sz="0" w:space="0" w:color="auto"/>
            <w:left w:val="none" w:sz="0" w:space="0" w:color="auto"/>
            <w:bottom w:val="none" w:sz="0" w:space="0" w:color="auto"/>
            <w:right w:val="none" w:sz="0" w:space="0" w:color="auto"/>
          </w:divBdr>
        </w:div>
        <w:div w:id="1108500595">
          <w:marLeft w:val="0"/>
          <w:marRight w:val="0"/>
          <w:marTop w:val="0"/>
          <w:marBottom w:val="0"/>
          <w:divBdr>
            <w:top w:val="none" w:sz="0" w:space="0" w:color="auto"/>
            <w:left w:val="none" w:sz="0" w:space="0" w:color="auto"/>
            <w:bottom w:val="none" w:sz="0" w:space="0" w:color="auto"/>
            <w:right w:val="none" w:sz="0" w:space="0" w:color="auto"/>
          </w:divBdr>
        </w:div>
        <w:div w:id="1202014984">
          <w:marLeft w:val="0"/>
          <w:marRight w:val="0"/>
          <w:marTop w:val="0"/>
          <w:marBottom w:val="0"/>
          <w:divBdr>
            <w:top w:val="none" w:sz="0" w:space="0" w:color="auto"/>
            <w:left w:val="none" w:sz="0" w:space="0" w:color="auto"/>
            <w:bottom w:val="none" w:sz="0" w:space="0" w:color="auto"/>
            <w:right w:val="none" w:sz="0" w:space="0" w:color="auto"/>
          </w:divBdr>
        </w:div>
        <w:div w:id="469372359">
          <w:marLeft w:val="0"/>
          <w:marRight w:val="0"/>
          <w:marTop w:val="0"/>
          <w:marBottom w:val="0"/>
          <w:divBdr>
            <w:top w:val="none" w:sz="0" w:space="0" w:color="auto"/>
            <w:left w:val="none" w:sz="0" w:space="0" w:color="auto"/>
            <w:bottom w:val="none" w:sz="0" w:space="0" w:color="auto"/>
            <w:right w:val="none" w:sz="0" w:space="0" w:color="auto"/>
          </w:divBdr>
        </w:div>
        <w:div w:id="653292827">
          <w:marLeft w:val="0"/>
          <w:marRight w:val="0"/>
          <w:marTop w:val="0"/>
          <w:marBottom w:val="0"/>
          <w:divBdr>
            <w:top w:val="none" w:sz="0" w:space="0" w:color="auto"/>
            <w:left w:val="none" w:sz="0" w:space="0" w:color="auto"/>
            <w:bottom w:val="none" w:sz="0" w:space="0" w:color="auto"/>
            <w:right w:val="none" w:sz="0" w:space="0" w:color="auto"/>
          </w:divBdr>
        </w:div>
        <w:div w:id="635069631">
          <w:marLeft w:val="0"/>
          <w:marRight w:val="0"/>
          <w:marTop w:val="0"/>
          <w:marBottom w:val="0"/>
          <w:divBdr>
            <w:top w:val="none" w:sz="0" w:space="0" w:color="auto"/>
            <w:left w:val="none" w:sz="0" w:space="0" w:color="auto"/>
            <w:bottom w:val="none" w:sz="0" w:space="0" w:color="auto"/>
            <w:right w:val="none" w:sz="0" w:space="0" w:color="auto"/>
          </w:divBdr>
        </w:div>
        <w:div w:id="308095400">
          <w:marLeft w:val="0"/>
          <w:marRight w:val="0"/>
          <w:marTop w:val="0"/>
          <w:marBottom w:val="0"/>
          <w:divBdr>
            <w:top w:val="none" w:sz="0" w:space="0" w:color="auto"/>
            <w:left w:val="none" w:sz="0" w:space="0" w:color="auto"/>
            <w:bottom w:val="none" w:sz="0" w:space="0" w:color="auto"/>
            <w:right w:val="none" w:sz="0" w:space="0" w:color="auto"/>
          </w:divBdr>
        </w:div>
        <w:div w:id="869492539">
          <w:marLeft w:val="0"/>
          <w:marRight w:val="0"/>
          <w:marTop w:val="0"/>
          <w:marBottom w:val="0"/>
          <w:divBdr>
            <w:top w:val="none" w:sz="0" w:space="0" w:color="auto"/>
            <w:left w:val="none" w:sz="0" w:space="0" w:color="auto"/>
            <w:bottom w:val="none" w:sz="0" w:space="0" w:color="auto"/>
            <w:right w:val="none" w:sz="0" w:space="0" w:color="auto"/>
          </w:divBdr>
        </w:div>
        <w:div w:id="2010205157">
          <w:marLeft w:val="0"/>
          <w:marRight w:val="0"/>
          <w:marTop w:val="0"/>
          <w:marBottom w:val="0"/>
          <w:divBdr>
            <w:top w:val="none" w:sz="0" w:space="0" w:color="auto"/>
            <w:left w:val="none" w:sz="0" w:space="0" w:color="auto"/>
            <w:bottom w:val="none" w:sz="0" w:space="0" w:color="auto"/>
            <w:right w:val="none" w:sz="0" w:space="0" w:color="auto"/>
          </w:divBdr>
        </w:div>
        <w:div w:id="524364306">
          <w:marLeft w:val="0"/>
          <w:marRight w:val="0"/>
          <w:marTop w:val="0"/>
          <w:marBottom w:val="0"/>
          <w:divBdr>
            <w:top w:val="none" w:sz="0" w:space="0" w:color="auto"/>
            <w:left w:val="none" w:sz="0" w:space="0" w:color="auto"/>
            <w:bottom w:val="none" w:sz="0" w:space="0" w:color="auto"/>
            <w:right w:val="none" w:sz="0" w:space="0" w:color="auto"/>
          </w:divBdr>
        </w:div>
        <w:div w:id="450975826">
          <w:marLeft w:val="0"/>
          <w:marRight w:val="0"/>
          <w:marTop w:val="0"/>
          <w:marBottom w:val="0"/>
          <w:divBdr>
            <w:top w:val="none" w:sz="0" w:space="0" w:color="auto"/>
            <w:left w:val="none" w:sz="0" w:space="0" w:color="auto"/>
            <w:bottom w:val="none" w:sz="0" w:space="0" w:color="auto"/>
            <w:right w:val="none" w:sz="0" w:space="0" w:color="auto"/>
          </w:divBdr>
        </w:div>
        <w:div w:id="1948612867">
          <w:marLeft w:val="0"/>
          <w:marRight w:val="0"/>
          <w:marTop w:val="0"/>
          <w:marBottom w:val="0"/>
          <w:divBdr>
            <w:top w:val="none" w:sz="0" w:space="0" w:color="auto"/>
            <w:left w:val="none" w:sz="0" w:space="0" w:color="auto"/>
            <w:bottom w:val="none" w:sz="0" w:space="0" w:color="auto"/>
            <w:right w:val="none" w:sz="0" w:space="0" w:color="auto"/>
          </w:divBdr>
        </w:div>
        <w:div w:id="41054175">
          <w:marLeft w:val="0"/>
          <w:marRight w:val="0"/>
          <w:marTop w:val="0"/>
          <w:marBottom w:val="0"/>
          <w:divBdr>
            <w:top w:val="none" w:sz="0" w:space="0" w:color="auto"/>
            <w:left w:val="none" w:sz="0" w:space="0" w:color="auto"/>
            <w:bottom w:val="none" w:sz="0" w:space="0" w:color="auto"/>
            <w:right w:val="none" w:sz="0" w:space="0" w:color="auto"/>
          </w:divBdr>
        </w:div>
        <w:div w:id="1556627376">
          <w:marLeft w:val="0"/>
          <w:marRight w:val="0"/>
          <w:marTop w:val="0"/>
          <w:marBottom w:val="0"/>
          <w:divBdr>
            <w:top w:val="none" w:sz="0" w:space="0" w:color="auto"/>
            <w:left w:val="none" w:sz="0" w:space="0" w:color="auto"/>
            <w:bottom w:val="none" w:sz="0" w:space="0" w:color="auto"/>
            <w:right w:val="none" w:sz="0" w:space="0" w:color="auto"/>
          </w:divBdr>
        </w:div>
        <w:div w:id="1770737328">
          <w:marLeft w:val="0"/>
          <w:marRight w:val="0"/>
          <w:marTop w:val="0"/>
          <w:marBottom w:val="0"/>
          <w:divBdr>
            <w:top w:val="none" w:sz="0" w:space="0" w:color="auto"/>
            <w:left w:val="none" w:sz="0" w:space="0" w:color="auto"/>
            <w:bottom w:val="none" w:sz="0" w:space="0" w:color="auto"/>
            <w:right w:val="none" w:sz="0" w:space="0" w:color="auto"/>
          </w:divBdr>
        </w:div>
        <w:div w:id="1119297501">
          <w:marLeft w:val="0"/>
          <w:marRight w:val="0"/>
          <w:marTop w:val="0"/>
          <w:marBottom w:val="0"/>
          <w:divBdr>
            <w:top w:val="none" w:sz="0" w:space="0" w:color="auto"/>
            <w:left w:val="none" w:sz="0" w:space="0" w:color="auto"/>
            <w:bottom w:val="none" w:sz="0" w:space="0" w:color="auto"/>
            <w:right w:val="none" w:sz="0" w:space="0" w:color="auto"/>
          </w:divBdr>
        </w:div>
        <w:div w:id="2028095338">
          <w:marLeft w:val="0"/>
          <w:marRight w:val="0"/>
          <w:marTop w:val="0"/>
          <w:marBottom w:val="0"/>
          <w:divBdr>
            <w:top w:val="none" w:sz="0" w:space="0" w:color="auto"/>
            <w:left w:val="none" w:sz="0" w:space="0" w:color="auto"/>
            <w:bottom w:val="none" w:sz="0" w:space="0" w:color="auto"/>
            <w:right w:val="none" w:sz="0" w:space="0" w:color="auto"/>
          </w:divBdr>
        </w:div>
        <w:div w:id="944733019">
          <w:marLeft w:val="0"/>
          <w:marRight w:val="0"/>
          <w:marTop w:val="0"/>
          <w:marBottom w:val="0"/>
          <w:divBdr>
            <w:top w:val="none" w:sz="0" w:space="0" w:color="auto"/>
            <w:left w:val="none" w:sz="0" w:space="0" w:color="auto"/>
            <w:bottom w:val="none" w:sz="0" w:space="0" w:color="auto"/>
            <w:right w:val="none" w:sz="0" w:space="0" w:color="auto"/>
          </w:divBdr>
        </w:div>
        <w:div w:id="179589862">
          <w:marLeft w:val="0"/>
          <w:marRight w:val="0"/>
          <w:marTop w:val="0"/>
          <w:marBottom w:val="0"/>
          <w:divBdr>
            <w:top w:val="none" w:sz="0" w:space="0" w:color="auto"/>
            <w:left w:val="none" w:sz="0" w:space="0" w:color="auto"/>
            <w:bottom w:val="none" w:sz="0" w:space="0" w:color="auto"/>
            <w:right w:val="none" w:sz="0" w:space="0" w:color="auto"/>
          </w:divBdr>
        </w:div>
        <w:div w:id="1677414900">
          <w:marLeft w:val="0"/>
          <w:marRight w:val="0"/>
          <w:marTop w:val="0"/>
          <w:marBottom w:val="0"/>
          <w:divBdr>
            <w:top w:val="none" w:sz="0" w:space="0" w:color="auto"/>
            <w:left w:val="none" w:sz="0" w:space="0" w:color="auto"/>
            <w:bottom w:val="none" w:sz="0" w:space="0" w:color="auto"/>
            <w:right w:val="none" w:sz="0" w:space="0" w:color="auto"/>
          </w:divBdr>
        </w:div>
        <w:div w:id="733888732">
          <w:marLeft w:val="0"/>
          <w:marRight w:val="0"/>
          <w:marTop w:val="0"/>
          <w:marBottom w:val="0"/>
          <w:divBdr>
            <w:top w:val="none" w:sz="0" w:space="0" w:color="auto"/>
            <w:left w:val="none" w:sz="0" w:space="0" w:color="auto"/>
            <w:bottom w:val="none" w:sz="0" w:space="0" w:color="auto"/>
            <w:right w:val="none" w:sz="0" w:space="0" w:color="auto"/>
          </w:divBdr>
        </w:div>
        <w:div w:id="1513300361">
          <w:marLeft w:val="0"/>
          <w:marRight w:val="0"/>
          <w:marTop w:val="0"/>
          <w:marBottom w:val="0"/>
          <w:divBdr>
            <w:top w:val="none" w:sz="0" w:space="0" w:color="auto"/>
            <w:left w:val="none" w:sz="0" w:space="0" w:color="auto"/>
            <w:bottom w:val="none" w:sz="0" w:space="0" w:color="auto"/>
            <w:right w:val="none" w:sz="0" w:space="0" w:color="auto"/>
          </w:divBdr>
        </w:div>
        <w:div w:id="526716337">
          <w:marLeft w:val="0"/>
          <w:marRight w:val="0"/>
          <w:marTop w:val="0"/>
          <w:marBottom w:val="0"/>
          <w:divBdr>
            <w:top w:val="none" w:sz="0" w:space="0" w:color="auto"/>
            <w:left w:val="none" w:sz="0" w:space="0" w:color="auto"/>
            <w:bottom w:val="none" w:sz="0" w:space="0" w:color="auto"/>
            <w:right w:val="none" w:sz="0" w:space="0" w:color="auto"/>
          </w:divBdr>
        </w:div>
        <w:div w:id="1218977648">
          <w:marLeft w:val="0"/>
          <w:marRight w:val="0"/>
          <w:marTop w:val="0"/>
          <w:marBottom w:val="0"/>
          <w:divBdr>
            <w:top w:val="none" w:sz="0" w:space="0" w:color="auto"/>
            <w:left w:val="none" w:sz="0" w:space="0" w:color="auto"/>
            <w:bottom w:val="none" w:sz="0" w:space="0" w:color="auto"/>
            <w:right w:val="none" w:sz="0" w:space="0" w:color="auto"/>
          </w:divBdr>
        </w:div>
        <w:div w:id="241990588">
          <w:marLeft w:val="0"/>
          <w:marRight w:val="0"/>
          <w:marTop w:val="0"/>
          <w:marBottom w:val="0"/>
          <w:divBdr>
            <w:top w:val="none" w:sz="0" w:space="0" w:color="auto"/>
            <w:left w:val="none" w:sz="0" w:space="0" w:color="auto"/>
            <w:bottom w:val="none" w:sz="0" w:space="0" w:color="auto"/>
            <w:right w:val="none" w:sz="0" w:space="0" w:color="auto"/>
          </w:divBdr>
        </w:div>
        <w:div w:id="207232043">
          <w:marLeft w:val="0"/>
          <w:marRight w:val="0"/>
          <w:marTop w:val="0"/>
          <w:marBottom w:val="0"/>
          <w:divBdr>
            <w:top w:val="none" w:sz="0" w:space="0" w:color="auto"/>
            <w:left w:val="none" w:sz="0" w:space="0" w:color="auto"/>
            <w:bottom w:val="none" w:sz="0" w:space="0" w:color="auto"/>
            <w:right w:val="none" w:sz="0" w:space="0" w:color="auto"/>
          </w:divBdr>
        </w:div>
        <w:div w:id="878472497">
          <w:marLeft w:val="0"/>
          <w:marRight w:val="0"/>
          <w:marTop w:val="0"/>
          <w:marBottom w:val="0"/>
          <w:divBdr>
            <w:top w:val="none" w:sz="0" w:space="0" w:color="auto"/>
            <w:left w:val="none" w:sz="0" w:space="0" w:color="auto"/>
            <w:bottom w:val="none" w:sz="0" w:space="0" w:color="auto"/>
            <w:right w:val="none" w:sz="0" w:space="0" w:color="auto"/>
          </w:divBdr>
        </w:div>
        <w:div w:id="735906519">
          <w:marLeft w:val="0"/>
          <w:marRight w:val="0"/>
          <w:marTop w:val="0"/>
          <w:marBottom w:val="0"/>
          <w:divBdr>
            <w:top w:val="none" w:sz="0" w:space="0" w:color="auto"/>
            <w:left w:val="none" w:sz="0" w:space="0" w:color="auto"/>
            <w:bottom w:val="none" w:sz="0" w:space="0" w:color="auto"/>
            <w:right w:val="none" w:sz="0" w:space="0" w:color="auto"/>
          </w:divBdr>
        </w:div>
        <w:div w:id="1923028365">
          <w:marLeft w:val="0"/>
          <w:marRight w:val="0"/>
          <w:marTop w:val="0"/>
          <w:marBottom w:val="0"/>
          <w:divBdr>
            <w:top w:val="none" w:sz="0" w:space="0" w:color="auto"/>
            <w:left w:val="none" w:sz="0" w:space="0" w:color="auto"/>
            <w:bottom w:val="none" w:sz="0" w:space="0" w:color="auto"/>
            <w:right w:val="none" w:sz="0" w:space="0" w:color="auto"/>
          </w:divBdr>
        </w:div>
        <w:div w:id="1517307209">
          <w:marLeft w:val="0"/>
          <w:marRight w:val="0"/>
          <w:marTop w:val="0"/>
          <w:marBottom w:val="0"/>
          <w:divBdr>
            <w:top w:val="none" w:sz="0" w:space="0" w:color="auto"/>
            <w:left w:val="none" w:sz="0" w:space="0" w:color="auto"/>
            <w:bottom w:val="none" w:sz="0" w:space="0" w:color="auto"/>
            <w:right w:val="none" w:sz="0" w:space="0" w:color="auto"/>
          </w:divBdr>
        </w:div>
        <w:div w:id="509104476">
          <w:marLeft w:val="0"/>
          <w:marRight w:val="0"/>
          <w:marTop w:val="0"/>
          <w:marBottom w:val="0"/>
          <w:divBdr>
            <w:top w:val="none" w:sz="0" w:space="0" w:color="auto"/>
            <w:left w:val="none" w:sz="0" w:space="0" w:color="auto"/>
            <w:bottom w:val="none" w:sz="0" w:space="0" w:color="auto"/>
            <w:right w:val="none" w:sz="0" w:space="0" w:color="auto"/>
          </w:divBdr>
        </w:div>
        <w:div w:id="1241988032">
          <w:marLeft w:val="0"/>
          <w:marRight w:val="0"/>
          <w:marTop w:val="0"/>
          <w:marBottom w:val="0"/>
          <w:divBdr>
            <w:top w:val="none" w:sz="0" w:space="0" w:color="auto"/>
            <w:left w:val="none" w:sz="0" w:space="0" w:color="auto"/>
            <w:bottom w:val="none" w:sz="0" w:space="0" w:color="auto"/>
            <w:right w:val="none" w:sz="0" w:space="0" w:color="auto"/>
          </w:divBdr>
        </w:div>
        <w:div w:id="1405299707">
          <w:marLeft w:val="0"/>
          <w:marRight w:val="0"/>
          <w:marTop w:val="0"/>
          <w:marBottom w:val="0"/>
          <w:divBdr>
            <w:top w:val="none" w:sz="0" w:space="0" w:color="auto"/>
            <w:left w:val="none" w:sz="0" w:space="0" w:color="auto"/>
            <w:bottom w:val="none" w:sz="0" w:space="0" w:color="auto"/>
            <w:right w:val="none" w:sz="0" w:space="0" w:color="auto"/>
          </w:divBdr>
        </w:div>
        <w:div w:id="1460300775">
          <w:marLeft w:val="0"/>
          <w:marRight w:val="0"/>
          <w:marTop w:val="0"/>
          <w:marBottom w:val="0"/>
          <w:divBdr>
            <w:top w:val="none" w:sz="0" w:space="0" w:color="auto"/>
            <w:left w:val="none" w:sz="0" w:space="0" w:color="auto"/>
            <w:bottom w:val="none" w:sz="0" w:space="0" w:color="auto"/>
            <w:right w:val="none" w:sz="0" w:space="0" w:color="auto"/>
          </w:divBdr>
        </w:div>
        <w:div w:id="384916422">
          <w:marLeft w:val="0"/>
          <w:marRight w:val="0"/>
          <w:marTop w:val="0"/>
          <w:marBottom w:val="0"/>
          <w:divBdr>
            <w:top w:val="none" w:sz="0" w:space="0" w:color="auto"/>
            <w:left w:val="none" w:sz="0" w:space="0" w:color="auto"/>
            <w:bottom w:val="none" w:sz="0" w:space="0" w:color="auto"/>
            <w:right w:val="none" w:sz="0" w:space="0" w:color="auto"/>
          </w:divBdr>
        </w:div>
        <w:div w:id="1524518395">
          <w:marLeft w:val="0"/>
          <w:marRight w:val="0"/>
          <w:marTop w:val="0"/>
          <w:marBottom w:val="0"/>
          <w:divBdr>
            <w:top w:val="none" w:sz="0" w:space="0" w:color="auto"/>
            <w:left w:val="none" w:sz="0" w:space="0" w:color="auto"/>
            <w:bottom w:val="none" w:sz="0" w:space="0" w:color="auto"/>
            <w:right w:val="none" w:sz="0" w:space="0" w:color="auto"/>
          </w:divBdr>
        </w:div>
        <w:div w:id="861817276">
          <w:marLeft w:val="0"/>
          <w:marRight w:val="0"/>
          <w:marTop w:val="0"/>
          <w:marBottom w:val="0"/>
          <w:divBdr>
            <w:top w:val="none" w:sz="0" w:space="0" w:color="auto"/>
            <w:left w:val="none" w:sz="0" w:space="0" w:color="auto"/>
            <w:bottom w:val="none" w:sz="0" w:space="0" w:color="auto"/>
            <w:right w:val="none" w:sz="0" w:space="0" w:color="auto"/>
          </w:divBdr>
        </w:div>
        <w:div w:id="1638334894">
          <w:marLeft w:val="0"/>
          <w:marRight w:val="0"/>
          <w:marTop w:val="0"/>
          <w:marBottom w:val="0"/>
          <w:divBdr>
            <w:top w:val="none" w:sz="0" w:space="0" w:color="auto"/>
            <w:left w:val="none" w:sz="0" w:space="0" w:color="auto"/>
            <w:bottom w:val="none" w:sz="0" w:space="0" w:color="auto"/>
            <w:right w:val="none" w:sz="0" w:space="0" w:color="auto"/>
          </w:divBdr>
        </w:div>
        <w:div w:id="1909413745">
          <w:marLeft w:val="0"/>
          <w:marRight w:val="0"/>
          <w:marTop w:val="0"/>
          <w:marBottom w:val="0"/>
          <w:divBdr>
            <w:top w:val="none" w:sz="0" w:space="0" w:color="auto"/>
            <w:left w:val="none" w:sz="0" w:space="0" w:color="auto"/>
            <w:bottom w:val="none" w:sz="0" w:space="0" w:color="auto"/>
            <w:right w:val="none" w:sz="0" w:space="0" w:color="auto"/>
          </w:divBdr>
        </w:div>
        <w:div w:id="574247058">
          <w:marLeft w:val="0"/>
          <w:marRight w:val="0"/>
          <w:marTop w:val="0"/>
          <w:marBottom w:val="0"/>
          <w:divBdr>
            <w:top w:val="none" w:sz="0" w:space="0" w:color="auto"/>
            <w:left w:val="none" w:sz="0" w:space="0" w:color="auto"/>
            <w:bottom w:val="none" w:sz="0" w:space="0" w:color="auto"/>
            <w:right w:val="none" w:sz="0" w:space="0" w:color="auto"/>
          </w:divBdr>
        </w:div>
        <w:div w:id="225727569">
          <w:marLeft w:val="0"/>
          <w:marRight w:val="0"/>
          <w:marTop w:val="0"/>
          <w:marBottom w:val="0"/>
          <w:divBdr>
            <w:top w:val="none" w:sz="0" w:space="0" w:color="auto"/>
            <w:left w:val="none" w:sz="0" w:space="0" w:color="auto"/>
            <w:bottom w:val="none" w:sz="0" w:space="0" w:color="auto"/>
            <w:right w:val="none" w:sz="0" w:space="0" w:color="auto"/>
          </w:divBdr>
        </w:div>
        <w:div w:id="1523975621">
          <w:marLeft w:val="0"/>
          <w:marRight w:val="0"/>
          <w:marTop w:val="0"/>
          <w:marBottom w:val="0"/>
          <w:divBdr>
            <w:top w:val="none" w:sz="0" w:space="0" w:color="auto"/>
            <w:left w:val="none" w:sz="0" w:space="0" w:color="auto"/>
            <w:bottom w:val="none" w:sz="0" w:space="0" w:color="auto"/>
            <w:right w:val="none" w:sz="0" w:space="0" w:color="auto"/>
          </w:divBdr>
        </w:div>
        <w:div w:id="1296375938">
          <w:marLeft w:val="0"/>
          <w:marRight w:val="0"/>
          <w:marTop w:val="0"/>
          <w:marBottom w:val="0"/>
          <w:divBdr>
            <w:top w:val="none" w:sz="0" w:space="0" w:color="auto"/>
            <w:left w:val="none" w:sz="0" w:space="0" w:color="auto"/>
            <w:bottom w:val="none" w:sz="0" w:space="0" w:color="auto"/>
            <w:right w:val="none" w:sz="0" w:space="0" w:color="auto"/>
          </w:divBdr>
        </w:div>
        <w:div w:id="812256787">
          <w:marLeft w:val="0"/>
          <w:marRight w:val="0"/>
          <w:marTop w:val="0"/>
          <w:marBottom w:val="0"/>
          <w:divBdr>
            <w:top w:val="none" w:sz="0" w:space="0" w:color="auto"/>
            <w:left w:val="none" w:sz="0" w:space="0" w:color="auto"/>
            <w:bottom w:val="none" w:sz="0" w:space="0" w:color="auto"/>
            <w:right w:val="none" w:sz="0" w:space="0" w:color="auto"/>
          </w:divBdr>
        </w:div>
        <w:div w:id="82648539">
          <w:marLeft w:val="0"/>
          <w:marRight w:val="0"/>
          <w:marTop w:val="0"/>
          <w:marBottom w:val="0"/>
          <w:divBdr>
            <w:top w:val="none" w:sz="0" w:space="0" w:color="auto"/>
            <w:left w:val="none" w:sz="0" w:space="0" w:color="auto"/>
            <w:bottom w:val="none" w:sz="0" w:space="0" w:color="auto"/>
            <w:right w:val="none" w:sz="0" w:space="0" w:color="auto"/>
          </w:divBdr>
        </w:div>
        <w:div w:id="1482192603">
          <w:marLeft w:val="0"/>
          <w:marRight w:val="0"/>
          <w:marTop w:val="0"/>
          <w:marBottom w:val="0"/>
          <w:divBdr>
            <w:top w:val="none" w:sz="0" w:space="0" w:color="auto"/>
            <w:left w:val="none" w:sz="0" w:space="0" w:color="auto"/>
            <w:bottom w:val="none" w:sz="0" w:space="0" w:color="auto"/>
            <w:right w:val="none" w:sz="0" w:space="0" w:color="auto"/>
          </w:divBdr>
        </w:div>
        <w:div w:id="1211573014">
          <w:marLeft w:val="0"/>
          <w:marRight w:val="0"/>
          <w:marTop w:val="0"/>
          <w:marBottom w:val="0"/>
          <w:divBdr>
            <w:top w:val="none" w:sz="0" w:space="0" w:color="auto"/>
            <w:left w:val="none" w:sz="0" w:space="0" w:color="auto"/>
            <w:bottom w:val="none" w:sz="0" w:space="0" w:color="auto"/>
            <w:right w:val="none" w:sz="0" w:space="0" w:color="auto"/>
          </w:divBdr>
        </w:div>
        <w:div w:id="96172746">
          <w:marLeft w:val="0"/>
          <w:marRight w:val="0"/>
          <w:marTop w:val="0"/>
          <w:marBottom w:val="0"/>
          <w:divBdr>
            <w:top w:val="none" w:sz="0" w:space="0" w:color="auto"/>
            <w:left w:val="none" w:sz="0" w:space="0" w:color="auto"/>
            <w:bottom w:val="none" w:sz="0" w:space="0" w:color="auto"/>
            <w:right w:val="none" w:sz="0" w:space="0" w:color="auto"/>
          </w:divBdr>
        </w:div>
        <w:div w:id="966131752">
          <w:marLeft w:val="0"/>
          <w:marRight w:val="0"/>
          <w:marTop w:val="0"/>
          <w:marBottom w:val="0"/>
          <w:divBdr>
            <w:top w:val="none" w:sz="0" w:space="0" w:color="auto"/>
            <w:left w:val="none" w:sz="0" w:space="0" w:color="auto"/>
            <w:bottom w:val="none" w:sz="0" w:space="0" w:color="auto"/>
            <w:right w:val="none" w:sz="0" w:space="0" w:color="auto"/>
          </w:divBdr>
        </w:div>
        <w:div w:id="1951352283">
          <w:marLeft w:val="0"/>
          <w:marRight w:val="0"/>
          <w:marTop w:val="0"/>
          <w:marBottom w:val="0"/>
          <w:divBdr>
            <w:top w:val="none" w:sz="0" w:space="0" w:color="auto"/>
            <w:left w:val="none" w:sz="0" w:space="0" w:color="auto"/>
            <w:bottom w:val="none" w:sz="0" w:space="0" w:color="auto"/>
            <w:right w:val="none" w:sz="0" w:space="0" w:color="auto"/>
          </w:divBdr>
        </w:div>
        <w:div w:id="1959872488">
          <w:marLeft w:val="0"/>
          <w:marRight w:val="0"/>
          <w:marTop w:val="0"/>
          <w:marBottom w:val="0"/>
          <w:divBdr>
            <w:top w:val="none" w:sz="0" w:space="0" w:color="auto"/>
            <w:left w:val="none" w:sz="0" w:space="0" w:color="auto"/>
            <w:bottom w:val="none" w:sz="0" w:space="0" w:color="auto"/>
            <w:right w:val="none" w:sz="0" w:space="0" w:color="auto"/>
          </w:divBdr>
        </w:div>
        <w:div w:id="779031618">
          <w:marLeft w:val="0"/>
          <w:marRight w:val="0"/>
          <w:marTop w:val="0"/>
          <w:marBottom w:val="0"/>
          <w:divBdr>
            <w:top w:val="none" w:sz="0" w:space="0" w:color="auto"/>
            <w:left w:val="none" w:sz="0" w:space="0" w:color="auto"/>
            <w:bottom w:val="none" w:sz="0" w:space="0" w:color="auto"/>
            <w:right w:val="none" w:sz="0" w:space="0" w:color="auto"/>
          </w:divBdr>
        </w:div>
        <w:div w:id="698773928">
          <w:marLeft w:val="0"/>
          <w:marRight w:val="0"/>
          <w:marTop w:val="0"/>
          <w:marBottom w:val="0"/>
          <w:divBdr>
            <w:top w:val="none" w:sz="0" w:space="0" w:color="auto"/>
            <w:left w:val="none" w:sz="0" w:space="0" w:color="auto"/>
            <w:bottom w:val="none" w:sz="0" w:space="0" w:color="auto"/>
            <w:right w:val="none" w:sz="0" w:space="0" w:color="auto"/>
          </w:divBdr>
        </w:div>
        <w:div w:id="1991133043">
          <w:marLeft w:val="0"/>
          <w:marRight w:val="0"/>
          <w:marTop w:val="0"/>
          <w:marBottom w:val="0"/>
          <w:divBdr>
            <w:top w:val="none" w:sz="0" w:space="0" w:color="auto"/>
            <w:left w:val="none" w:sz="0" w:space="0" w:color="auto"/>
            <w:bottom w:val="none" w:sz="0" w:space="0" w:color="auto"/>
            <w:right w:val="none" w:sz="0" w:space="0" w:color="auto"/>
          </w:divBdr>
        </w:div>
        <w:div w:id="351685679">
          <w:marLeft w:val="0"/>
          <w:marRight w:val="0"/>
          <w:marTop w:val="0"/>
          <w:marBottom w:val="0"/>
          <w:divBdr>
            <w:top w:val="none" w:sz="0" w:space="0" w:color="auto"/>
            <w:left w:val="none" w:sz="0" w:space="0" w:color="auto"/>
            <w:bottom w:val="none" w:sz="0" w:space="0" w:color="auto"/>
            <w:right w:val="none" w:sz="0" w:space="0" w:color="auto"/>
          </w:divBdr>
        </w:div>
        <w:div w:id="1323050072">
          <w:marLeft w:val="0"/>
          <w:marRight w:val="0"/>
          <w:marTop w:val="0"/>
          <w:marBottom w:val="0"/>
          <w:divBdr>
            <w:top w:val="none" w:sz="0" w:space="0" w:color="auto"/>
            <w:left w:val="none" w:sz="0" w:space="0" w:color="auto"/>
            <w:bottom w:val="none" w:sz="0" w:space="0" w:color="auto"/>
            <w:right w:val="none" w:sz="0" w:space="0" w:color="auto"/>
          </w:divBdr>
        </w:div>
        <w:div w:id="1559979149">
          <w:marLeft w:val="0"/>
          <w:marRight w:val="0"/>
          <w:marTop w:val="0"/>
          <w:marBottom w:val="0"/>
          <w:divBdr>
            <w:top w:val="none" w:sz="0" w:space="0" w:color="auto"/>
            <w:left w:val="none" w:sz="0" w:space="0" w:color="auto"/>
            <w:bottom w:val="none" w:sz="0" w:space="0" w:color="auto"/>
            <w:right w:val="none" w:sz="0" w:space="0" w:color="auto"/>
          </w:divBdr>
        </w:div>
        <w:div w:id="394476067">
          <w:marLeft w:val="0"/>
          <w:marRight w:val="0"/>
          <w:marTop w:val="0"/>
          <w:marBottom w:val="0"/>
          <w:divBdr>
            <w:top w:val="none" w:sz="0" w:space="0" w:color="auto"/>
            <w:left w:val="none" w:sz="0" w:space="0" w:color="auto"/>
            <w:bottom w:val="none" w:sz="0" w:space="0" w:color="auto"/>
            <w:right w:val="none" w:sz="0" w:space="0" w:color="auto"/>
          </w:divBdr>
        </w:div>
        <w:div w:id="1834681162">
          <w:marLeft w:val="0"/>
          <w:marRight w:val="0"/>
          <w:marTop w:val="0"/>
          <w:marBottom w:val="0"/>
          <w:divBdr>
            <w:top w:val="none" w:sz="0" w:space="0" w:color="auto"/>
            <w:left w:val="none" w:sz="0" w:space="0" w:color="auto"/>
            <w:bottom w:val="none" w:sz="0" w:space="0" w:color="auto"/>
            <w:right w:val="none" w:sz="0" w:space="0" w:color="auto"/>
          </w:divBdr>
        </w:div>
        <w:div w:id="673456952">
          <w:marLeft w:val="0"/>
          <w:marRight w:val="0"/>
          <w:marTop w:val="0"/>
          <w:marBottom w:val="0"/>
          <w:divBdr>
            <w:top w:val="none" w:sz="0" w:space="0" w:color="auto"/>
            <w:left w:val="none" w:sz="0" w:space="0" w:color="auto"/>
            <w:bottom w:val="none" w:sz="0" w:space="0" w:color="auto"/>
            <w:right w:val="none" w:sz="0" w:space="0" w:color="auto"/>
          </w:divBdr>
        </w:div>
        <w:div w:id="831986871">
          <w:marLeft w:val="0"/>
          <w:marRight w:val="0"/>
          <w:marTop w:val="0"/>
          <w:marBottom w:val="0"/>
          <w:divBdr>
            <w:top w:val="none" w:sz="0" w:space="0" w:color="auto"/>
            <w:left w:val="none" w:sz="0" w:space="0" w:color="auto"/>
            <w:bottom w:val="none" w:sz="0" w:space="0" w:color="auto"/>
            <w:right w:val="none" w:sz="0" w:space="0" w:color="auto"/>
          </w:divBdr>
        </w:div>
        <w:div w:id="749273951">
          <w:marLeft w:val="0"/>
          <w:marRight w:val="0"/>
          <w:marTop w:val="0"/>
          <w:marBottom w:val="0"/>
          <w:divBdr>
            <w:top w:val="none" w:sz="0" w:space="0" w:color="auto"/>
            <w:left w:val="none" w:sz="0" w:space="0" w:color="auto"/>
            <w:bottom w:val="none" w:sz="0" w:space="0" w:color="auto"/>
            <w:right w:val="none" w:sz="0" w:space="0" w:color="auto"/>
          </w:divBdr>
        </w:div>
        <w:div w:id="1463767190">
          <w:marLeft w:val="0"/>
          <w:marRight w:val="0"/>
          <w:marTop w:val="0"/>
          <w:marBottom w:val="0"/>
          <w:divBdr>
            <w:top w:val="none" w:sz="0" w:space="0" w:color="auto"/>
            <w:left w:val="none" w:sz="0" w:space="0" w:color="auto"/>
            <w:bottom w:val="none" w:sz="0" w:space="0" w:color="auto"/>
            <w:right w:val="none" w:sz="0" w:space="0" w:color="auto"/>
          </w:divBdr>
        </w:div>
        <w:div w:id="520515122">
          <w:marLeft w:val="0"/>
          <w:marRight w:val="0"/>
          <w:marTop w:val="0"/>
          <w:marBottom w:val="0"/>
          <w:divBdr>
            <w:top w:val="none" w:sz="0" w:space="0" w:color="auto"/>
            <w:left w:val="none" w:sz="0" w:space="0" w:color="auto"/>
            <w:bottom w:val="none" w:sz="0" w:space="0" w:color="auto"/>
            <w:right w:val="none" w:sz="0" w:space="0" w:color="auto"/>
          </w:divBdr>
        </w:div>
        <w:div w:id="761098943">
          <w:marLeft w:val="0"/>
          <w:marRight w:val="0"/>
          <w:marTop w:val="0"/>
          <w:marBottom w:val="0"/>
          <w:divBdr>
            <w:top w:val="none" w:sz="0" w:space="0" w:color="auto"/>
            <w:left w:val="none" w:sz="0" w:space="0" w:color="auto"/>
            <w:bottom w:val="none" w:sz="0" w:space="0" w:color="auto"/>
            <w:right w:val="none" w:sz="0" w:space="0" w:color="auto"/>
          </w:divBdr>
        </w:div>
        <w:div w:id="1148746859">
          <w:marLeft w:val="0"/>
          <w:marRight w:val="0"/>
          <w:marTop w:val="0"/>
          <w:marBottom w:val="0"/>
          <w:divBdr>
            <w:top w:val="none" w:sz="0" w:space="0" w:color="auto"/>
            <w:left w:val="none" w:sz="0" w:space="0" w:color="auto"/>
            <w:bottom w:val="none" w:sz="0" w:space="0" w:color="auto"/>
            <w:right w:val="none" w:sz="0" w:space="0" w:color="auto"/>
          </w:divBdr>
        </w:div>
        <w:div w:id="859930502">
          <w:marLeft w:val="0"/>
          <w:marRight w:val="0"/>
          <w:marTop w:val="0"/>
          <w:marBottom w:val="0"/>
          <w:divBdr>
            <w:top w:val="none" w:sz="0" w:space="0" w:color="auto"/>
            <w:left w:val="none" w:sz="0" w:space="0" w:color="auto"/>
            <w:bottom w:val="none" w:sz="0" w:space="0" w:color="auto"/>
            <w:right w:val="none" w:sz="0" w:space="0" w:color="auto"/>
          </w:divBdr>
        </w:div>
        <w:div w:id="1729302048">
          <w:marLeft w:val="0"/>
          <w:marRight w:val="0"/>
          <w:marTop w:val="0"/>
          <w:marBottom w:val="0"/>
          <w:divBdr>
            <w:top w:val="none" w:sz="0" w:space="0" w:color="auto"/>
            <w:left w:val="none" w:sz="0" w:space="0" w:color="auto"/>
            <w:bottom w:val="none" w:sz="0" w:space="0" w:color="auto"/>
            <w:right w:val="none" w:sz="0" w:space="0" w:color="auto"/>
          </w:divBdr>
        </w:div>
        <w:div w:id="2015718506">
          <w:marLeft w:val="0"/>
          <w:marRight w:val="0"/>
          <w:marTop w:val="0"/>
          <w:marBottom w:val="0"/>
          <w:divBdr>
            <w:top w:val="none" w:sz="0" w:space="0" w:color="auto"/>
            <w:left w:val="none" w:sz="0" w:space="0" w:color="auto"/>
            <w:bottom w:val="none" w:sz="0" w:space="0" w:color="auto"/>
            <w:right w:val="none" w:sz="0" w:space="0" w:color="auto"/>
          </w:divBdr>
        </w:div>
        <w:div w:id="1497384465">
          <w:marLeft w:val="0"/>
          <w:marRight w:val="0"/>
          <w:marTop w:val="0"/>
          <w:marBottom w:val="0"/>
          <w:divBdr>
            <w:top w:val="none" w:sz="0" w:space="0" w:color="auto"/>
            <w:left w:val="none" w:sz="0" w:space="0" w:color="auto"/>
            <w:bottom w:val="none" w:sz="0" w:space="0" w:color="auto"/>
            <w:right w:val="none" w:sz="0" w:space="0" w:color="auto"/>
          </w:divBdr>
        </w:div>
        <w:div w:id="703136571">
          <w:marLeft w:val="0"/>
          <w:marRight w:val="0"/>
          <w:marTop w:val="0"/>
          <w:marBottom w:val="0"/>
          <w:divBdr>
            <w:top w:val="none" w:sz="0" w:space="0" w:color="auto"/>
            <w:left w:val="none" w:sz="0" w:space="0" w:color="auto"/>
            <w:bottom w:val="none" w:sz="0" w:space="0" w:color="auto"/>
            <w:right w:val="none" w:sz="0" w:space="0" w:color="auto"/>
          </w:divBdr>
        </w:div>
        <w:div w:id="1816751106">
          <w:marLeft w:val="0"/>
          <w:marRight w:val="0"/>
          <w:marTop w:val="0"/>
          <w:marBottom w:val="0"/>
          <w:divBdr>
            <w:top w:val="none" w:sz="0" w:space="0" w:color="auto"/>
            <w:left w:val="none" w:sz="0" w:space="0" w:color="auto"/>
            <w:bottom w:val="none" w:sz="0" w:space="0" w:color="auto"/>
            <w:right w:val="none" w:sz="0" w:space="0" w:color="auto"/>
          </w:divBdr>
        </w:div>
        <w:div w:id="866330723">
          <w:marLeft w:val="0"/>
          <w:marRight w:val="0"/>
          <w:marTop w:val="0"/>
          <w:marBottom w:val="0"/>
          <w:divBdr>
            <w:top w:val="none" w:sz="0" w:space="0" w:color="auto"/>
            <w:left w:val="none" w:sz="0" w:space="0" w:color="auto"/>
            <w:bottom w:val="none" w:sz="0" w:space="0" w:color="auto"/>
            <w:right w:val="none" w:sz="0" w:space="0" w:color="auto"/>
          </w:divBdr>
        </w:div>
        <w:div w:id="1992903518">
          <w:marLeft w:val="0"/>
          <w:marRight w:val="0"/>
          <w:marTop w:val="0"/>
          <w:marBottom w:val="0"/>
          <w:divBdr>
            <w:top w:val="none" w:sz="0" w:space="0" w:color="auto"/>
            <w:left w:val="none" w:sz="0" w:space="0" w:color="auto"/>
            <w:bottom w:val="none" w:sz="0" w:space="0" w:color="auto"/>
            <w:right w:val="none" w:sz="0" w:space="0" w:color="auto"/>
          </w:divBdr>
        </w:div>
        <w:div w:id="1865167288">
          <w:marLeft w:val="0"/>
          <w:marRight w:val="0"/>
          <w:marTop w:val="0"/>
          <w:marBottom w:val="0"/>
          <w:divBdr>
            <w:top w:val="none" w:sz="0" w:space="0" w:color="auto"/>
            <w:left w:val="none" w:sz="0" w:space="0" w:color="auto"/>
            <w:bottom w:val="none" w:sz="0" w:space="0" w:color="auto"/>
            <w:right w:val="none" w:sz="0" w:space="0" w:color="auto"/>
          </w:divBdr>
        </w:div>
        <w:div w:id="1294442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mailto:AQPUBLICCLOUD-IAAS-PAAS@acquistinretepa.it" TargetMode="External"/><Relationship Id="rId4" Type="http://schemas.openxmlformats.org/officeDocument/2006/relationships/styles" Target="styles.xml"/><Relationship Id="rId9" Type="http://schemas.openxmlformats.org/officeDocument/2006/relationships/hyperlink" Target="https://www.acquistinretepa.it"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A99A9CD-A12B-4CD8-B6EE-2B2F0768A8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5140</Words>
  <Characters>29302</Characters>
  <Application>Microsoft Office Word</Application>
  <DocSecurity>0</DocSecurity>
  <Lines>244</Lines>
  <Paragraphs>68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34374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2022-03-31T07:46:00Z</dcterms:created>
  <dcterms:modified xsi:type="dcterms:W3CDTF">2022-04-22T07:22:00Z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6986fb0-3baa-42d2-89d5-89f9b25e6ac9_Enabled">
    <vt:lpwstr>true</vt:lpwstr>
  </property>
  <property fmtid="{D5CDD505-2E9C-101B-9397-08002B2CF9AE}" pid="3" name="MSIP_Label_d6986fb0-3baa-42d2-89d5-89f9b25e6ac9_SetDate">
    <vt:lpwstr>2022-04-22T07:22:18Z</vt:lpwstr>
  </property>
  <property fmtid="{D5CDD505-2E9C-101B-9397-08002B2CF9AE}" pid="4" name="MSIP_Label_d6986fb0-3baa-42d2-89d5-89f9b25e6ac9_Method">
    <vt:lpwstr>Standard</vt:lpwstr>
  </property>
  <property fmtid="{D5CDD505-2E9C-101B-9397-08002B2CF9AE}" pid="5" name="MSIP_Label_d6986fb0-3baa-42d2-89d5-89f9b25e6ac9_Name">
    <vt:lpwstr>Uso Interno</vt:lpwstr>
  </property>
  <property fmtid="{D5CDD505-2E9C-101B-9397-08002B2CF9AE}" pid="6" name="MSIP_Label_d6986fb0-3baa-42d2-89d5-89f9b25e6ac9_SiteId">
    <vt:lpwstr>6815f468-021c-48f2-a6b2-d65c8e979dfb</vt:lpwstr>
  </property>
  <property fmtid="{D5CDD505-2E9C-101B-9397-08002B2CF9AE}" pid="7" name="MSIP_Label_d6986fb0-3baa-42d2-89d5-89f9b25e6ac9_ActionId">
    <vt:lpwstr>c2d9cdb4-88b4-432e-9a62-9b3650896736</vt:lpwstr>
  </property>
  <property fmtid="{D5CDD505-2E9C-101B-9397-08002B2CF9AE}" pid="8" name="MSIP_Label_d6986fb0-3baa-42d2-89d5-89f9b25e6ac9_ContentBits">
    <vt:lpwstr>2</vt:lpwstr>
  </property>
</Properties>
</file>